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65FEB" w14:textId="77777777" w:rsidR="00864D83" w:rsidRDefault="00233B7B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 Zoologia</w:t>
      </w:r>
    </w:p>
    <w:p w14:paraId="692A678D" w14:textId="77777777" w:rsidR="00864D83" w:rsidRDefault="00233B7B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 Taxonomia animal</w:t>
      </w:r>
    </w:p>
    <w:p w14:paraId="1AD37A5F" w14:textId="77777777" w:rsidR="00864D83" w:rsidRDefault="00864D83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</w:p>
    <w:p w14:paraId="3E0A4270" w14:textId="77777777" w:rsidR="00864D83" w:rsidRDefault="00233B7B">
      <w:pPr>
        <w:pStyle w:val="Textodecomentri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TAXOCENOSE DE ANUROS EM UMA ÁREA DE CAATINGA NO SERTÃO PARAIBANO, NORDESTE DO BRASIL</w:t>
      </w:r>
    </w:p>
    <w:p w14:paraId="2AA397CF" w14:textId="77777777" w:rsidR="00864D83" w:rsidRDefault="00864D83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6103A0DC" w14:textId="77777777" w:rsidR="00864D83" w:rsidRDefault="00233B7B">
      <w:pPr>
        <w:spacing w:line="240" w:lineRule="auto"/>
        <w:jc w:val="center"/>
        <w:rPr>
          <w:color w:val="000000" w:themeColor="text1"/>
          <w:sz w:val="20"/>
          <w:szCs w:val="20"/>
          <w:lang w:val="pt-BR" w:eastAsia="zh-CN"/>
        </w:rPr>
      </w:pPr>
      <w:r>
        <w:rPr>
          <w:rFonts w:eastAsia="Times New Roman"/>
          <w:color w:val="000000" w:themeColor="text1"/>
          <w:sz w:val="20"/>
          <w:szCs w:val="20"/>
          <w:lang w:val="pt-BR"/>
        </w:rPr>
        <w:t>Mikaela Clotilde da Silva</w:t>
      </w:r>
      <w:r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1</w:t>
      </w:r>
      <w:r>
        <w:rPr>
          <w:rFonts w:eastAsia="Times New Roman"/>
          <w:color w:val="000000" w:themeColor="text1"/>
          <w:sz w:val="20"/>
          <w:szCs w:val="20"/>
          <w:lang w:val="pt-BR"/>
        </w:rPr>
        <w:t xml:space="preserve">, </w:t>
      </w:r>
      <w:r>
        <w:rPr>
          <w:bCs/>
          <w:sz w:val="20"/>
          <w:szCs w:val="20"/>
        </w:rPr>
        <w:t>Alisson Moura de Oliveira</w:t>
      </w:r>
      <w:r>
        <w:rPr>
          <w:color w:val="222222"/>
          <w:sz w:val="20"/>
          <w:szCs w:val="20"/>
          <w:shd w:val="clear" w:color="auto" w:fill="FFFFFF"/>
          <w:vertAlign w:val="superscript"/>
          <w:lang w:val="pt-BR"/>
        </w:rPr>
        <w:t>2</w:t>
      </w:r>
      <w:r>
        <w:rPr>
          <w:rFonts w:eastAsia="Times New Roman"/>
          <w:color w:val="000000" w:themeColor="text1"/>
          <w:sz w:val="20"/>
          <w:szCs w:val="20"/>
        </w:rPr>
        <w:t>,</w:t>
      </w:r>
      <w:r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szCs w:val="20"/>
        </w:rPr>
        <w:t>Viviane Micaela Canuto Medeiros</w:t>
      </w:r>
      <w:r>
        <w:rPr>
          <w:sz w:val="20"/>
          <w:szCs w:val="20"/>
          <w:shd w:val="clear" w:color="auto" w:fill="FFFFFF"/>
          <w:vertAlign w:val="superscript"/>
          <w:lang w:val="pt-BR"/>
        </w:rPr>
        <w:t>3</w:t>
      </w:r>
      <w:r>
        <w:rPr>
          <w:rFonts w:eastAsia="Times New Roman"/>
          <w:color w:val="000000" w:themeColor="text1"/>
          <w:sz w:val="20"/>
          <w:szCs w:val="20"/>
          <w:lang w:val="pt-BR"/>
        </w:rPr>
        <w:t>, Juliana Delfino de Sousa</w:t>
      </w:r>
      <w:r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4</w:t>
      </w:r>
      <w:r>
        <w:rPr>
          <w:rFonts w:eastAsia="Times New Roman"/>
          <w:color w:val="000000" w:themeColor="text1"/>
          <w:sz w:val="20"/>
          <w:szCs w:val="20"/>
          <w:lang w:val="pt-BR"/>
        </w:rPr>
        <w:t>,</w:t>
      </w:r>
      <w:r>
        <w:rPr>
          <w:rFonts w:eastAsia="Times New Roman"/>
          <w:color w:val="000000" w:themeColor="text1"/>
          <w:sz w:val="20"/>
          <w:szCs w:val="20"/>
        </w:rPr>
        <w:t xml:space="preserve"> Marcelo Nogueira de Carvalho Kokubum</w:t>
      </w:r>
      <w:r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5</w:t>
      </w:r>
    </w:p>
    <w:p w14:paraId="633F0EC2" w14:textId="3B3AF6AE" w:rsidR="00864D83" w:rsidRDefault="00233B7B">
      <w:pPr>
        <w:spacing w:line="240" w:lineRule="auto"/>
        <w:ind w:left="-142" w:firstLine="142"/>
        <w:jc w:val="center"/>
        <w:rPr>
          <w:rFonts w:eastAsia="Times New Roman"/>
          <w:color w:val="000000" w:themeColor="text1"/>
          <w:sz w:val="20"/>
          <w:szCs w:val="20"/>
          <w:lang w:val="pt-BR"/>
        </w:rPr>
      </w:pPr>
      <w:proofErr w:type="gramStart"/>
      <w:r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1</w:t>
      </w:r>
      <w:proofErr w:type="gramEnd"/>
      <w:r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,3,4</w:t>
      </w:r>
      <w:r>
        <w:rPr>
          <w:rFonts w:eastAsia="Times New Roman"/>
          <w:color w:val="000000" w:themeColor="text1"/>
          <w:sz w:val="20"/>
          <w:szCs w:val="20"/>
        </w:rPr>
        <w:t xml:space="preserve"> Universidade </w:t>
      </w:r>
      <w:r>
        <w:rPr>
          <w:rFonts w:eastAsia="Times New Roman"/>
          <w:color w:val="000000" w:themeColor="text1"/>
          <w:sz w:val="20"/>
          <w:szCs w:val="20"/>
          <w:lang w:val="pt-BR"/>
        </w:rPr>
        <w:t>Estadual da Paraíba</w:t>
      </w:r>
      <w:r>
        <w:rPr>
          <w:rFonts w:eastAsia="Times New Roman"/>
          <w:color w:val="000000" w:themeColor="text1"/>
          <w:sz w:val="20"/>
          <w:szCs w:val="20"/>
        </w:rPr>
        <w:t xml:space="preserve"> (</w:t>
      </w:r>
      <w:r>
        <w:rPr>
          <w:rFonts w:eastAsia="Times New Roman"/>
          <w:color w:val="000000" w:themeColor="text1"/>
          <w:sz w:val="20"/>
          <w:szCs w:val="20"/>
          <w:lang w:val="pt-BR"/>
        </w:rPr>
        <w:t>UEPB</w:t>
      </w:r>
      <w:r>
        <w:rPr>
          <w:rFonts w:eastAsia="Times New Roman"/>
          <w:color w:val="000000" w:themeColor="text1"/>
          <w:sz w:val="20"/>
          <w:szCs w:val="20"/>
        </w:rPr>
        <w:t xml:space="preserve">), </w:t>
      </w:r>
      <w:r>
        <w:rPr>
          <w:rFonts w:eastAsia="Times New Roman"/>
          <w:iCs/>
          <w:color w:val="000000" w:themeColor="text1"/>
          <w:sz w:val="20"/>
          <w:szCs w:val="20"/>
        </w:rPr>
        <w:t>Campus</w:t>
      </w:r>
      <w:r>
        <w:rPr>
          <w:rFonts w:eastAsia="Times New Roman"/>
          <w:iCs/>
          <w:color w:val="000000" w:themeColor="text1"/>
          <w:sz w:val="20"/>
          <w:szCs w:val="20"/>
          <w:lang w:val="pt-BR"/>
        </w:rPr>
        <w:t xml:space="preserve"> Campina Grande</w:t>
      </w:r>
      <w:r>
        <w:rPr>
          <w:rFonts w:eastAsia="Times New Roman"/>
          <w:iCs/>
          <w:color w:val="000000" w:themeColor="text1"/>
          <w:sz w:val="20"/>
          <w:szCs w:val="20"/>
        </w:rPr>
        <w:t>.</w:t>
      </w:r>
      <w:r>
        <w:rPr>
          <w:rFonts w:eastAsia="Times New Roman"/>
          <w:color w:val="000000" w:themeColor="text1"/>
          <w:sz w:val="20"/>
          <w:szCs w:val="20"/>
        </w:rPr>
        <w:t xml:space="preserve"> E-mail: </w:t>
      </w:r>
      <w:r>
        <w:rPr>
          <w:color w:val="222222"/>
          <w:sz w:val="20"/>
          <w:szCs w:val="20"/>
          <w:shd w:val="clear" w:color="auto" w:fill="FFFFFF"/>
        </w:rPr>
        <w:t>mikaelacs29@gmail.com</w:t>
      </w:r>
      <w:r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1</w:t>
      </w:r>
      <w:r>
        <w:rPr>
          <w:rFonts w:eastAsia="Times New Roman"/>
          <w:color w:val="000000" w:themeColor="text1"/>
          <w:sz w:val="20"/>
          <w:szCs w:val="20"/>
          <w:lang w:val="pt-BR"/>
        </w:rPr>
        <w:t>,</w:t>
      </w:r>
      <w:r>
        <w:rPr>
          <w:color w:val="222222"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vivianemicaela54@gmail.com</w:t>
      </w:r>
      <w:r>
        <w:rPr>
          <w:color w:val="222222"/>
          <w:sz w:val="20"/>
          <w:szCs w:val="20"/>
          <w:shd w:val="clear" w:color="auto" w:fill="FFFFFF"/>
          <w:vertAlign w:val="superscript"/>
          <w:lang w:val="pt-BR"/>
        </w:rPr>
        <w:t>3</w:t>
      </w:r>
      <w:r>
        <w:rPr>
          <w:color w:val="222222"/>
          <w:sz w:val="20"/>
          <w:szCs w:val="20"/>
          <w:shd w:val="clear" w:color="auto" w:fill="FFFFFF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szCs w:val="20"/>
          <w:lang w:val="pt-BR"/>
        </w:rPr>
        <w:t>julianadelfino4@gmail.com</w:t>
      </w:r>
      <w:r>
        <w:rPr>
          <w:sz w:val="20"/>
          <w:szCs w:val="20"/>
          <w:shd w:val="clear" w:color="auto" w:fill="FFFFFF"/>
          <w:vertAlign w:val="superscript"/>
          <w:lang w:val="pt-BR"/>
        </w:rPr>
        <w:t>4</w:t>
      </w:r>
    </w:p>
    <w:p w14:paraId="05260577" w14:textId="77777777" w:rsidR="00864D83" w:rsidRDefault="00233B7B">
      <w:pPr>
        <w:spacing w:line="240" w:lineRule="auto"/>
        <w:jc w:val="center"/>
        <w:rPr>
          <w:rFonts w:eastAsia="Times New Roman"/>
          <w:color w:val="000000" w:themeColor="text1"/>
          <w:sz w:val="20"/>
          <w:szCs w:val="20"/>
          <w:lang w:val="pt-BR"/>
        </w:rPr>
      </w:pPr>
      <w:r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2,5</w:t>
      </w:r>
      <w:r>
        <w:rPr>
          <w:rFonts w:eastAsia="Times New Roman"/>
          <w:color w:val="000000" w:themeColor="text1"/>
          <w:sz w:val="20"/>
          <w:szCs w:val="20"/>
          <w:vertAlign w:val="superscript"/>
        </w:rPr>
        <w:t xml:space="preserve"> </w:t>
      </w:r>
      <w:r>
        <w:rPr>
          <w:rFonts w:eastAsia="Times New Roman"/>
          <w:color w:val="000000" w:themeColor="text1"/>
          <w:sz w:val="20"/>
          <w:szCs w:val="20"/>
        </w:rPr>
        <w:t xml:space="preserve">Universidade Federal de </w:t>
      </w:r>
      <w:r>
        <w:rPr>
          <w:rFonts w:eastAsia="Times New Roman"/>
          <w:color w:val="000000" w:themeColor="text1"/>
          <w:sz w:val="20"/>
          <w:szCs w:val="20"/>
          <w:lang w:val="pt-BR"/>
        </w:rPr>
        <w:t xml:space="preserve">Campina Grande </w:t>
      </w:r>
      <w:r>
        <w:rPr>
          <w:rFonts w:eastAsia="Times New Roman"/>
          <w:color w:val="000000" w:themeColor="text1"/>
          <w:sz w:val="20"/>
          <w:szCs w:val="20"/>
        </w:rPr>
        <w:t>(</w:t>
      </w:r>
      <w:r>
        <w:rPr>
          <w:rFonts w:eastAsia="Times New Roman"/>
          <w:color w:val="000000" w:themeColor="text1"/>
          <w:sz w:val="20"/>
          <w:szCs w:val="20"/>
          <w:lang w:val="pt-BR"/>
        </w:rPr>
        <w:t>UFCG)</w:t>
      </w:r>
      <w:r>
        <w:rPr>
          <w:rFonts w:eastAsia="Times New Roman"/>
          <w:color w:val="000000" w:themeColor="text1"/>
          <w:sz w:val="20"/>
          <w:szCs w:val="20"/>
        </w:rPr>
        <w:t xml:space="preserve">, </w:t>
      </w:r>
      <w:r>
        <w:rPr>
          <w:rFonts w:eastAsia="Times New Roman"/>
          <w:iCs/>
          <w:color w:val="000000" w:themeColor="text1"/>
          <w:sz w:val="20"/>
          <w:szCs w:val="20"/>
        </w:rPr>
        <w:t>Campus</w:t>
      </w:r>
      <w:r>
        <w:rPr>
          <w:rFonts w:eastAsia="Times New Roman"/>
          <w:iCs/>
          <w:color w:val="000000" w:themeColor="text1"/>
          <w:sz w:val="20"/>
          <w:szCs w:val="20"/>
          <w:lang w:val="pt-BR"/>
        </w:rPr>
        <w:t xml:space="preserve"> Patos</w:t>
      </w:r>
      <w:r>
        <w:rPr>
          <w:rFonts w:eastAsia="Times New Roman"/>
          <w:i/>
          <w:color w:val="000000" w:themeColor="text1"/>
          <w:sz w:val="20"/>
          <w:szCs w:val="20"/>
          <w:lang w:val="pt-BR"/>
        </w:rPr>
        <w:t xml:space="preserve">. </w:t>
      </w:r>
      <w:r>
        <w:rPr>
          <w:rFonts w:eastAsia="Times New Roman"/>
          <w:color w:val="000000" w:themeColor="text1"/>
          <w:sz w:val="20"/>
          <w:szCs w:val="20"/>
        </w:rPr>
        <w:t xml:space="preserve">E-mail: </w:t>
      </w:r>
      <w:r>
        <w:rPr>
          <w:sz w:val="20"/>
          <w:szCs w:val="20"/>
        </w:rPr>
        <w:t>al.moura.10@gmail.com</w:t>
      </w:r>
      <w:r>
        <w:rPr>
          <w:sz w:val="20"/>
          <w:szCs w:val="20"/>
          <w:vertAlign w:val="superscript"/>
          <w:lang w:val="pt-BR"/>
        </w:rPr>
        <w:t>2</w:t>
      </w:r>
      <w:r>
        <w:rPr>
          <w:sz w:val="20"/>
          <w:szCs w:val="20"/>
          <w:lang w:val="pt-BR"/>
        </w:rPr>
        <w:t>,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mnckokubum@gmail.com</w:t>
      </w:r>
      <w:r>
        <w:rPr>
          <w:color w:val="000000" w:themeColor="text1"/>
          <w:sz w:val="20"/>
          <w:szCs w:val="20"/>
          <w:shd w:val="clear" w:color="auto" w:fill="FFFFFF"/>
          <w:vertAlign w:val="superscript"/>
          <w:lang w:val="pt-BR"/>
        </w:rPr>
        <w:t>5</w:t>
      </w:r>
    </w:p>
    <w:p w14:paraId="1EAC69AB" w14:textId="77777777" w:rsidR="00864D83" w:rsidRDefault="00233B7B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575E8AE1" w14:textId="77777777" w:rsidR="00864D83" w:rsidRDefault="00233B7B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 Caatinga é composta por diferentes fitofisionomias resultantes de interações entre fatores antrópicos e ecológicos (Oliveira et al., 2018), ocupando cerca de 11% de todo território brasileiro (Leal et al., 2003), e distribuída em uma área de aproximadamente 844.000 km² (Caldas et al., 2016). A sua pluviosidade varia entre 200 e 800 mm por ano (Silva et al., 2017; Freire et al., 2020), e sua vegetação é composta por espécies geralmente xerófilas e por cactáceas e bromeliáceas (Silva et al., 2017; Silva-Neta et al., 2018).</w:t>
      </w:r>
    </w:p>
    <w:p w14:paraId="6102B7B2" w14:textId="77777777" w:rsidR="00864D83" w:rsidRDefault="00233B7B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Apesar de a Caatinga ser considerada como um Bioma rico em espécies e endemismo (Roberto e </w:t>
      </w:r>
      <w:proofErr w:type="spellStart"/>
      <w:r>
        <w:rPr>
          <w:rFonts w:eastAsia="Times New Roman"/>
          <w:sz w:val="20"/>
          <w:szCs w:val="20"/>
          <w:lang w:val="pt-BR"/>
        </w:rPr>
        <w:t>Loebmann</w:t>
      </w:r>
      <w:proofErr w:type="spellEnd"/>
      <w:r>
        <w:rPr>
          <w:rFonts w:eastAsia="Times New Roman"/>
          <w:sz w:val="20"/>
          <w:szCs w:val="20"/>
          <w:lang w:val="pt-BR"/>
        </w:rPr>
        <w:t>, 2016), e de se ter conhecimento que estudos sobre composição e distribuição de espécies serem importantes para a conservação dos mesmos e da área, ela ainda é considerada como um ambiente pouco amostrado (Guedes et al., 2014). Adicionalmente, informações sobre riqueza, densidade e abundância são de extrema importância para a elaboração de planos de manejo e produções de áreas prioritárias para a conservação, produzindo a manutenção de toda Biodiversidade da Caatinga (Leal et al., 2003).</w:t>
      </w:r>
    </w:p>
    <w:p w14:paraId="404E1F53" w14:textId="619C7521" w:rsidR="00864D83" w:rsidRDefault="00233B7B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No Brasil são conhecidas </w:t>
      </w:r>
      <w:r w:rsidR="000A17D3">
        <w:rPr>
          <w:rFonts w:eastAsia="Times New Roman"/>
          <w:color w:val="000000" w:themeColor="text1"/>
          <w:sz w:val="20"/>
          <w:szCs w:val="20"/>
          <w:lang w:val="pt-BR"/>
        </w:rPr>
        <w:t>1188</w:t>
      </w:r>
      <w:r>
        <w:rPr>
          <w:rFonts w:eastAsia="Times New Roman"/>
          <w:color w:val="000000" w:themeColor="text1"/>
          <w:sz w:val="20"/>
          <w:szCs w:val="20"/>
          <w:lang w:val="pt-BR"/>
        </w:rPr>
        <w:t xml:space="preserve"> espécies</w:t>
      </w:r>
      <w:r w:rsidR="000A17D3">
        <w:rPr>
          <w:rFonts w:eastAsia="Times New Roman"/>
          <w:color w:val="000000" w:themeColor="text1"/>
          <w:sz w:val="20"/>
          <w:szCs w:val="20"/>
          <w:lang w:val="pt-BR"/>
        </w:rPr>
        <w:t xml:space="preserve"> de anfíbios (Segalla </w:t>
      </w:r>
      <w:proofErr w:type="gramStart"/>
      <w:r w:rsidR="000A17D3">
        <w:rPr>
          <w:rFonts w:eastAsia="Times New Roman"/>
          <w:color w:val="000000" w:themeColor="text1"/>
          <w:sz w:val="20"/>
          <w:szCs w:val="20"/>
          <w:lang w:val="pt-BR"/>
        </w:rPr>
        <w:t>et</w:t>
      </w:r>
      <w:proofErr w:type="gramEnd"/>
      <w:r w:rsidR="000A17D3">
        <w:rPr>
          <w:rFonts w:eastAsia="Times New Roman"/>
          <w:color w:val="000000" w:themeColor="text1"/>
          <w:sz w:val="20"/>
          <w:szCs w:val="20"/>
          <w:lang w:val="pt-BR"/>
        </w:rPr>
        <w:t xml:space="preserve"> al., 2021</w:t>
      </w:r>
      <w:r>
        <w:rPr>
          <w:rFonts w:eastAsia="Times New Roman"/>
          <w:color w:val="000000" w:themeColor="text1"/>
          <w:sz w:val="20"/>
          <w:szCs w:val="20"/>
          <w:lang w:val="pt-BR"/>
        </w:rPr>
        <w:t>),</w:t>
      </w:r>
      <w:r>
        <w:rPr>
          <w:rFonts w:eastAsia="Times New Roman"/>
          <w:color w:val="FF0000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dentre essas,</w:t>
      </w:r>
      <w:r w:rsidR="000A17D3">
        <w:rPr>
          <w:rFonts w:eastAsia="Times New Roman"/>
          <w:sz w:val="20"/>
          <w:szCs w:val="20"/>
          <w:lang w:val="pt-BR"/>
        </w:rPr>
        <w:t xml:space="preserve"> 1144 são espécies de anfíbios anuros, onde </w:t>
      </w:r>
      <w:r>
        <w:rPr>
          <w:rFonts w:eastAsia="Times New Roman"/>
          <w:sz w:val="20"/>
          <w:szCs w:val="20"/>
          <w:lang w:val="pt-BR"/>
        </w:rPr>
        <w:t>98 espécies ocorrem ao longo de toda a Caatinga (</w:t>
      </w:r>
      <w:proofErr w:type="spellStart"/>
      <w:r>
        <w:rPr>
          <w:rFonts w:eastAsia="Times New Roman"/>
          <w:sz w:val="20"/>
          <w:szCs w:val="20"/>
          <w:lang w:val="pt-BR"/>
        </w:rPr>
        <w:t>Garda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et al., 2017). Contudo, apesar de que diferentes estudos </w:t>
      </w:r>
      <w:proofErr w:type="spellStart"/>
      <w:r>
        <w:rPr>
          <w:rFonts w:eastAsia="Times New Roman"/>
          <w:sz w:val="20"/>
          <w:szCs w:val="20"/>
          <w:lang w:val="pt-BR"/>
        </w:rPr>
        <w:t>herpetofaunísticos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foram realizados em diversas áreas (</w:t>
      </w:r>
      <w:r>
        <w:rPr>
          <w:sz w:val="20"/>
          <w:szCs w:val="20"/>
          <w:lang w:val="pt-BR"/>
        </w:rPr>
        <w:t>S</w:t>
      </w:r>
      <w:r>
        <w:rPr>
          <w:sz w:val="20"/>
          <w:szCs w:val="20"/>
        </w:rPr>
        <w:t xml:space="preserve">antana et al., 2015; </w:t>
      </w:r>
      <w:r>
        <w:rPr>
          <w:sz w:val="20"/>
          <w:szCs w:val="20"/>
          <w:lang w:val="pt-BR"/>
        </w:rPr>
        <w:t>C</w:t>
      </w:r>
      <w:r>
        <w:rPr>
          <w:sz w:val="20"/>
          <w:szCs w:val="20"/>
        </w:rPr>
        <w:t xml:space="preserve">aldas et al., 2016; </w:t>
      </w:r>
      <w:r>
        <w:rPr>
          <w:sz w:val="20"/>
          <w:szCs w:val="20"/>
          <w:lang w:val="pt-BR"/>
        </w:rPr>
        <w:t>O</w:t>
      </w:r>
      <w:r>
        <w:rPr>
          <w:sz w:val="20"/>
          <w:szCs w:val="20"/>
        </w:rPr>
        <w:t xml:space="preserve">liveira et al., 2018; </w:t>
      </w:r>
      <w:r>
        <w:rPr>
          <w:sz w:val="20"/>
          <w:szCs w:val="20"/>
          <w:lang w:val="pt-BR"/>
        </w:rPr>
        <w:t>S</w:t>
      </w:r>
      <w:r>
        <w:rPr>
          <w:sz w:val="20"/>
          <w:szCs w:val="20"/>
        </w:rPr>
        <w:t>ilva-</w:t>
      </w:r>
      <w:r>
        <w:rPr>
          <w:sz w:val="20"/>
          <w:szCs w:val="20"/>
          <w:lang w:val="pt-BR"/>
        </w:rPr>
        <w:t>N</w:t>
      </w:r>
      <w:r>
        <w:rPr>
          <w:sz w:val="20"/>
          <w:szCs w:val="20"/>
        </w:rPr>
        <w:t>eta et al., 2018</w:t>
      </w:r>
      <w:r>
        <w:rPr>
          <w:sz w:val="20"/>
          <w:szCs w:val="20"/>
          <w:lang w:val="pt-BR"/>
        </w:rPr>
        <w:t>), as pesquisas voltadas para a Caatinga, especialmente para a comunidade de anfíbios, são escassos (Santana et al., 2015).</w:t>
      </w:r>
    </w:p>
    <w:p w14:paraId="10149011" w14:textId="77777777" w:rsidR="00864D83" w:rsidRDefault="00233B7B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Diante desse cenário, o presente trabalho teve como objetivo fornecer informações sobre a </w:t>
      </w:r>
      <w:proofErr w:type="spellStart"/>
      <w:r>
        <w:rPr>
          <w:rFonts w:eastAsia="Times New Roman"/>
          <w:sz w:val="20"/>
          <w:szCs w:val="20"/>
          <w:lang w:val="pt-BR"/>
        </w:rPr>
        <w:t>taxocenose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de uma comunidade de anfíbios anuros em uma área de Caatinga no sertão paraibano, Nordeste do Brasil.</w:t>
      </w:r>
    </w:p>
    <w:p w14:paraId="7FE798A4" w14:textId="77777777" w:rsidR="00864D83" w:rsidRDefault="00864D83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2D7BBD1" w14:textId="77777777" w:rsidR="00864D83" w:rsidRDefault="00233B7B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594D4506" w14:textId="77777777" w:rsidR="00864D83" w:rsidRDefault="00233B7B">
      <w:pPr>
        <w:spacing w:line="240" w:lineRule="auto"/>
        <w:ind w:firstLine="567"/>
        <w:jc w:val="both"/>
        <w:rPr>
          <w:color w:val="000000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O estudo foi realizado na Reserva Particular do Patrimônio Natural (RPPN) Verdes Pastos </w:t>
      </w:r>
      <w:r>
        <w:rPr>
          <w:sz w:val="20"/>
          <w:szCs w:val="20"/>
        </w:rPr>
        <w:t>localizada no município de São Mamede, Paraíba, Brasil (06°56’ S 37°09’ W)</w:t>
      </w:r>
      <w:r>
        <w:rPr>
          <w:sz w:val="20"/>
          <w:szCs w:val="20"/>
          <w:lang w:val="pt-BR"/>
        </w:rPr>
        <w:t xml:space="preserve">. </w:t>
      </w:r>
      <w:r>
        <w:rPr>
          <w:color w:val="000000"/>
          <w:sz w:val="20"/>
          <w:szCs w:val="20"/>
        </w:rPr>
        <w:t>O clima, segundo a classificação de Köppen é do tipo Bsh</w:t>
      </w:r>
      <w:r>
        <w:rPr>
          <w:color w:val="000000"/>
          <w:sz w:val="20"/>
          <w:szCs w:val="20"/>
          <w:lang w:val="pt-BR"/>
        </w:rPr>
        <w:t xml:space="preserve">, </w:t>
      </w:r>
      <w:r>
        <w:rPr>
          <w:color w:val="000000"/>
          <w:sz w:val="20"/>
          <w:szCs w:val="20"/>
        </w:rPr>
        <w:t xml:space="preserve">temperatura média anual de 28ºC e </w:t>
      </w:r>
      <w:r>
        <w:rPr>
          <w:color w:val="000000"/>
          <w:sz w:val="20"/>
          <w:szCs w:val="20"/>
          <w:lang w:val="pt-BR"/>
        </w:rPr>
        <w:t xml:space="preserve">a área apresenta </w:t>
      </w:r>
      <w:r>
        <w:rPr>
          <w:color w:val="000000"/>
          <w:sz w:val="20"/>
          <w:szCs w:val="20"/>
        </w:rPr>
        <w:t>solos pedregosos.</w:t>
      </w:r>
      <w:r>
        <w:rPr>
          <w:color w:val="000000"/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 xml:space="preserve">A precipitação média anual é de 820 mm </w:t>
      </w:r>
      <w:r>
        <w:rPr>
          <w:color w:val="000000"/>
          <w:sz w:val="20"/>
          <w:szCs w:val="20"/>
        </w:rPr>
        <w:t>(</w:t>
      </w:r>
      <w:r>
        <w:rPr>
          <w:sz w:val="20"/>
          <w:szCs w:val="20"/>
        </w:rPr>
        <w:t>Galvíncio</w:t>
      </w:r>
      <w:r>
        <w:rPr>
          <w:sz w:val="20"/>
          <w:szCs w:val="20"/>
          <w:lang w:val="pt-BR"/>
        </w:rPr>
        <w:t xml:space="preserve"> e</w:t>
      </w:r>
      <w:r>
        <w:rPr>
          <w:sz w:val="20"/>
          <w:szCs w:val="20"/>
        </w:rPr>
        <w:t xml:space="preserve"> Ribeiro, 2005)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  <w:lang w:val="pt-BR"/>
        </w:rPr>
        <w:t xml:space="preserve"> </w:t>
      </w:r>
      <w:r>
        <w:rPr>
          <w:color w:val="000000"/>
          <w:sz w:val="20"/>
          <w:szCs w:val="20"/>
        </w:rPr>
        <w:t>O local</w:t>
      </w:r>
      <w:r>
        <w:rPr>
          <w:color w:val="000000"/>
          <w:sz w:val="20"/>
          <w:szCs w:val="20"/>
          <w:lang w:val="pt-BR"/>
        </w:rPr>
        <w:t xml:space="preserve"> também</w:t>
      </w:r>
      <w:r>
        <w:rPr>
          <w:color w:val="000000"/>
          <w:sz w:val="20"/>
          <w:szCs w:val="20"/>
        </w:rPr>
        <w:t xml:space="preserve"> apesenta alguns riachos temporários e corpos d’água artificiais</w:t>
      </w:r>
      <w:r>
        <w:rPr>
          <w:color w:val="000000"/>
          <w:sz w:val="20"/>
          <w:szCs w:val="20"/>
          <w:lang w:val="pt-BR"/>
        </w:rPr>
        <w:t>.</w:t>
      </w:r>
    </w:p>
    <w:p w14:paraId="045DDA04" w14:textId="77777777" w:rsidR="00864D83" w:rsidRDefault="00233B7B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Foram determinadas </w:t>
      </w:r>
      <w:r>
        <w:rPr>
          <w:sz w:val="20"/>
          <w:szCs w:val="20"/>
        </w:rPr>
        <w:t>três áreas para a amostragem</w:t>
      </w:r>
      <w:r>
        <w:rPr>
          <w:sz w:val="20"/>
          <w:szCs w:val="20"/>
          <w:lang w:val="pt-BR"/>
        </w:rPr>
        <w:t xml:space="preserve">, sendo T1: uma </w:t>
      </w:r>
      <w:r>
        <w:rPr>
          <w:sz w:val="20"/>
          <w:szCs w:val="20"/>
        </w:rPr>
        <w:t xml:space="preserve">trilha de aproximadamente 1 km de comprimento, caracterizada por solo com muita serapilheira, árvores de grande porte e </w:t>
      </w:r>
      <w:r>
        <w:rPr>
          <w:sz w:val="20"/>
          <w:szCs w:val="20"/>
          <w:lang w:val="pt-BR"/>
        </w:rPr>
        <w:t>segmentos</w:t>
      </w:r>
      <w:r>
        <w:rPr>
          <w:sz w:val="20"/>
          <w:szCs w:val="20"/>
        </w:rPr>
        <w:t xml:space="preserve"> que ficam alagad</w:t>
      </w:r>
      <w:r>
        <w:rPr>
          <w:sz w:val="20"/>
          <w:szCs w:val="20"/>
          <w:lang w:val="pt-BR"/>
        </w:rPr>
        <w:t>o</w:t>
      </w:r>
      <w:r>
        <w:rPr>
          <w:sz w:val="20"/>
          <w:szCs w:val="20"/>
        </w:rPr>
        <w:t>s no período chuvoso</w:t>
      </w:r>
      <w:r>
        <w:rPr>
          <w:sz w:val="20"/>
          <w:szCs w:val="20"/>
          <w:lang w:val="pt-BR"/>
        </w:rPr>
        <w:t xml:space="preserve">; T2: </w:t>
      </w:r>
      <w:r>
        <w:rPr>
          <w:sz w:val="20"/>
          <w:szCs w:val="20"/>
        </w:rPr>
        <w:t xml:space="preserve">Trilha </w:t>
      </w:r>
      <w:r>
        <w:rPr>
          <w:sz w:val="20"/>
          <w:szCs w:val="20"/>
          <w:lang w:val="pt-BR"/>
        </w:rPr>
        <w:t>com cerca de</w:t>
      </w:r>
      <w:r>
        <w:rPr>
          <w:sz w:val="20"/>
          <w:szCs w:val="20"/>
        </w:rPr>
        <w:t xml:space="preserve"> 500m</w:t>
      </w:r>
      <w:r>
        <w:rPr>
          <w:sz w:val="20"/>
          <w:szCs w:val="20"/>
          <w:lang w:val="pt-BR"/>
        </w:rPr>
        <w:t>, composta por</w:t>
      </w:r>
      <w:r>
        <w:rPr>
          <w:sz w:val="20"/>
          <w:szCs w:val="20"/>
        </w:rPr>
        <w:t xml:space="preserve"> vegetação arbóreo-arbustiva, solo pedregoso </w:t>
      </w:r>
      <w:r>
        <w:rPr>
          <w:sz w:val="20"/>
          <w:szCs w:val="20"/>
          <w:lang w:val="pt-BR"/>
        </w:rPr>
        <w:t>e</w:t>
      </w:r>
      <w:r>
        <w:rPr>
          <w:sz w:val="20"/>
          <w:szCs w:val="20"/>
        </w:rPr>
        <w:t xml:space="preserve"> áreas </w:t>
      </w:r>
      <w:r>
        <w:rPr>
          <w:sz w:val="20"/>
          <w:szCs w:val="20"/>
          <w:lang w:val="pt-BR"/>
        </w:rPr>
        <w:t>que apresentam</w:t>
      </w:r>
      <w:r>
        <w:rPr>
          <w:sz w:val="20"/>
          <w:szCs w:val="20"/>
        </w:rPr>
        <w:t xml:space="preserve"> construções humanas</w:t>
      </w:r>
      <w:r>
        <w:rPr>
          <w:sz w:val="20"/>
          <w:szCs w:val="20"/>
          <w:lang w:val="pt-BR"/>
        </w:rPr>
        <w:t xml:space="preserve">; e T3: </w:t>
      </w:r>
      <w:r>
        <w:rPr>
          <w:sz w:val="20"/>
          <w:szCs w:val="20"/>
        </w:rPr>
        <w:t xml:space="preserve">trilha com vegetação predominantemente herbácea e um açude </w:t>
      </w:r>
      <w:r>
        <w:rPr>
          <w:sz w:val="20"/>
          <w:szCs w:val="20"/>
          <w:lang w:val="pt-BR"/>
        </w:rPr>
        <w:t>que mantem</w:t>
      </w:r>
      <w:r>
        <w:rPr>
          <w:sz w:val="20"/>
          <w:szCs w:val="20"/>
        </w:rPr>
        <w:t xml:space="preserve"> água na maior parte do ano. </w:t>
      </w:r>
      <w:r>
        <w:rPr>
          <w:sz w:val="20"/>
          <w:szCs w:val="20"/>
          <w:lang w:val="pt-BR"/>
        </w:rPr>
        <w:t xml:space="preserve">Foi determinado 1 km de distância entre cada um dos transectos. Cada um dos transectos foi percorrido por 1h30min. </w:t>
      </w:r>
    </w:p>
    <w:p w14:paraId="1F816EF9" w14:textId="77777777" w:rsidR="00864D83" w:rsidRDefault="00233B7B">
      <w:pPr>
        <w:spacing w:line="240" w:lineRule="auto"/>
        <w:ind w:firstLine="567"/>
        <w:jc w:val="both"/>
        <w:rPr>
          <w:color w:val="000000"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As coletas foram realizadas </w:t>
      </w:r>
      <w:r>
        <w:rPr>
          <w:sz w:val="20"/>
          <w:szCs w:val="20"/>
        </w:rPr>
        <w:t>mensalmente</w:t>
      </w:r>
      <w:r>
        <w:rPr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durante três dias consecutivos entre os meses de Novembro de 2017 e Outubro de 2018</w:t>
      </w:r>
      <w:r>
        <w:rPr>
          <w:sz w:val="20"/>
          <w:szCs w:val="20"/>
          <w:lang w:val="pt-BR"/>
        </w:rPr>
        <w:t xml:space="preserve">, e os trabalhos de campo realizados </w:t>
      </w:r>
      <w:r>
        <w:rPr>
          <w:sz w:val="20"/>
          <w:szCs w:val="20"/>
        </w:rPr>
        <w:t>entre 18h00min e 23h30min</w:t>
      </w:r>
      <w:r>
        <w:rPr>
          <w:sz w:val="20"/>
          <w:szCs w:val="20"/>
          <w:lang w:val="pt-BR"/>
        </w:rPr>
        <w:t xml:space="preserve">. Adicionalmente, </w:t>
      </w:r>
      <w:r>
        <w:rPr>
          <w:sz w:val="20"/>
          <w:szCs w:val="20"/>
        </w:rPr>
        <w:t>foram realizadas coletas diurnas de forma esporádica</w:t>
      </w:r>
      <w:r>
        <w:rPr>
          <w:sz w:val="20"/>
          <w:szCs w:val="20"/>
          <w:lang w:val="pt-BR"/>
        </w:rPr>
        <w:t xml:space="preserve"> e </w:t>
      </w:r>
      <w:r>
        <w:rPr>
          <w:sz w:val="20"/>
          <w:szCs w:val="20"/>
        </w:rPr>
        <w:t>busca ativa visual e auditiva limitada por tempo (H</w:t>
      </w:r>
      <w:proofErr w:type="spellStart"/>
      <w:r>
        <w:rPr>
          <w:sz w:val="20"/>
          <w:szCs w:val="20"/>
          <w:lang w:val="pt-BR"/>
        </w:rPr>
        <w:t>eyer</w:t>
      </w:r>
      <w:proofErr w:type="spellEnd"/>
      <w:r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>et al</w:t>
      </w:r>
      <w:r>
        <w:rPr>
          <w:sz w:val="20"/>
          <w:szCs w:val="20"/>
        </w:rPr>
        <w:t>., 1990)</w:t>
      </w:r>
      <w:r>
        <w:rPr>
          <w:sz w:val="20"/>
          <w:szCs w:val="20"/>
          <w:lang w:val="pt-BR"/>
        </w:rPr>
        <w:t xml:space="preserve">. </w:t>
      </w:r>
      <w:r>
        <w:rPr>
          <w:color w:val="000000"/>
          <w:sz w:val="20"/>
          <w:szCs w:val="20"/>
        </w:rPr>
        <w:t>Os espécimes foram identificados com o auxílio da bibliografia específica</w:t>
      </w:r>
      <w:r>
        <w:rPr>
          <w:color w:val="000000"/>
          <w:sz w:val="20"/>
          <w:szCs w:val="20"/>
          <w:lang w:val="pt-BR"/>
        </w:rPr>
        <w:t xml:space="preserve"> para o grupo</w:t>
      </w:r>
      <w:r>
        <w:rPr>
          <w:color w:val="000000"/>
          <w:sz w:val="20"/>
          <w:szCs w:val="20"/>
        </w:rPr>
        <w:t xml:space="preserve"> (</w:t>
      </w:r>
      <w:r>
        <w:rPr>
          <w:color w:val="000000" w:themeColor="text1"/>
          <w:sz w:val="20"/>
          <w:szCs w:val="20"/>
        </w:rPr>
        <w:t>S</w:t>
      </w:r>
      <w:proofErr w:type="spellStart"/>
      <w:r>
        <w:rPr>
          <w:color w:val="000000" w:themeColor="text1"/>
          <w:sz w:val="20"/>
          <w:szCs w:val="20"/>
          <w:lang w:val="pt-BR"/>
        </w:rPr>
        <w:t>egalla</w:t>
      </w:r>
      <w:proofErr w:type="spellEnd"/>
      <w:r>
        <w:rPr>
          <w:color w:val="000000" w:themeColor="text1"/>
          <w:sz w:val="20"/>
          <w:szCs w:val="20"/>
        </w:rPr>
        <w:t xml:space="preserve"> et al., 2019</w:t>
      </w:r>
      <w:r>
        <w:rPr>
          <w:color w:val="000000"/>
          <w:sz w:val="20"/>
          <w:szCs w:val="20"/>
        </w:rPr>
        <w:t>). Exemplares testemunhos foram coletados</w:t>
      </w:r>
      <w:r>
        <w:rPr>
          <w:color w:val="000000"/>
          <w:sz w:val="20"/>
          <w:szCs w:val="20"/>
          <w:lang w:val="pt-BR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lastRenderedPageBreak/>
        <w:t xml:space="preserve">sob licença do ICMBio n° </w:t>
      </w:r>
      <w:r>
        <w:rPr>
          <w:sz w:val="20"/>
          <w:szCs w:val="20"/>
        </w:rPr>
        <w:t>25267-1</w:t>
      </w:r>
      <w:r>
        <w:rPr>
          <w:color w:val="000000"/>
          <w:sz w:val="20"/>
          <w:szCs w:val="20"/>
        </w:rPr>
        <w:t xml:space="preserve"> e depositados na coleção herpetológica da Universidade Federal de Campina Grande</w:t>
      </w:r>
      <w:r>
        <w:rPr>
          <w:color w:val="000000"/>
          <w:sz w:val="20"/>
          <w:szCs w:val="20"/>
          <w:lang w:val="pt-BR"/>
        </w:rPr>
        <w:t>.</w:t>
      </w:r>
    </w:p>
    <w:p w14:paraId="438AFDAE" w14:textId="77777777" w:rsidR="00864D83" w:rsidRDefault="00233B7B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Para determinar a eficiência da amostragem foi realizada uma curva de rarefação sendo utilizado o </w:t>
      </w:r>
      <w:proofErr w:type="spellStart"/>
      <w:r>
        <w:rPr>
          <w:sz w:val="20"/>
          <w:szCs w:val="20"/>
          <w:lang w:val="pt-BR"/>
        </w:rPr>
        <w:t>Chao</w:t>
      </w:r>
      <w:proofErr w:type="spellEnd"/>
      <w:r>
        <w:rPr>
          <w:sz w:val="20"/>
          <w:szCs w:val="20"/>
          <w:lang w:val="pt-BR"/>
        </w:rPr>
        <w:t xml:space="preserve"> 1 para estimar a riqueza (</w:t>
      </w:r>
      <w:proofErr w:type="spellStart"/>
      <w:r>
        <w:rPr>
          <w:sz w:val="20"/>
          <w:szCs w:val="20"/>
          <w:lang w:val="pt-BR"/>
        </w:rPr>
        <w:t>Colwell</w:t>
      </w:r>
      <w:proofErr w:type="spellEnd"/>
      <w:r>
        <w:rPr>
          <w:sz w:val="20"/>
          <w:szCs w:val="20"/>
          <w:lang w:val="pt-BR"/>
        </w:rPr>
        <w:t xml:space="preserve"> e </w:t>
      </w:r>
      <w:proofErr w:type="spellStart"/>
      <w:r>
        <w:rPr>
          <w:sz w:val="20"/>
          <w:szCs w:val="20"/>
          <w:lang w:val="pt-BR"/>
        </w:rPr>
        <w:t>Coddington</w:t>
      </w:r>
      <w:proofErr w:type="spellEnd"/>
      <w:r>
        <w:rPr>
          <w:sz w:val="20"/>
          <w:szCs w:val="20"/>
          <w:lang w:val="pt-BR"/>
        </w:rPr>
        <w:t xml:space="preserve">, 1994). A riqueza de anuros encontrada na RPPN Verdes Pastos foi </w:t>
      </w:r>
      <w:r>
        <w:rPr>
          <w:color w:val="000000"/>
          <w:sz w:val="20"/>
          <w:szCs w:val="20"/>
          <w:lang w:val="pt-BR"/>
        </w:rPr>
        <w:t xml:space="preserve">comparada com 17 localidades do Nordeste brasileiro, através </w:t>
      </w:r>
      <w:r>
        <w:rPr>
          <w:sz w:val="20"/>
          <w:szCs w:val="20"/>
          <w:lang w:val="pt-BR"/>
        </w:rPr>
        <w:t xml:space="preserve">do Índice de Similaridade de </w:t>
      </w:r>
      <w:proofErr w:type="spellStart"/>
      <w:r>
        <w:rPr>
          <w:sz w:val="20"/>
          <w:szCs w:val="20"/>
          <w:lang w:val="pt-BR"/>
        </w:rPr>
        <w:t>Jaccard</w:t>
      </w:r>
      <w:proofErr w:type="spellEnd"/>
      <w:r>
        <w:rPr>
          <w:sz w:val="20"/>
          <w:szCs w:val="20"/>
          <w:lang w:val="pt-BR"/>
        </w:rPr>
        <w:t xml:space="preserve"> (ISJ). Todos os cálculos foram realizados no programa PAST.</w:t>
      </w:r>
    </w:p>
    <w:p w14:paraId="4632D108" w14:textId="77777777" w:rsidR="00864D83" w:rsidRDefault="00864D83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689EB10" w14:textId="77777777" w:rsidR="00864D83" w:rsidRDefault="00233B7B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140B7F69" w14:textId="633B09D2" w:rsidR="00864D83" w:rsidRDefault="00233B7B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Foi registrado um total de </w:t>
      </w:r>
      <w:r w:rsidR="003D0BCD">
        <w:rPr>
          <w:sz w:val="20"/>
          <w:szCs w:val="20"/>
          <w:lang w:val="pt-BR"/>
        </w:rPr>
        <w:t xml:space="preserve">18 espécies, e abundância de </w:t>
      </w:r>
      <w:r>
        <w:rPr>
          <w:sz w:val="20"/>
          <w:szCs w:val="20"/>
          <w:lang w:val="pt-BR"/>
        </w:rPr>
        <w:t>2006 indivíduos, distribuídas em seis famílias, sendo Leptodactylidae (</w:t>
      </w:r>
      <w:r>
        <w:rPr>
          <w:i/>
          <w:sz w:val="20"/>
          <w:szCs w:val="20"/>
        </w:rPr>
        <w:t>Leptodactylus fuscus</w:t>
      </w:r>
      <w:r>
        <w:rPr>
          <w:i/>
          <w:sz w:val="20"/>
          <w:szCs w:val="20"/>
          <w:lang w:val="pt-BR"/>
        </w:rPr>
        <w:t xml:space="preserve">, </w:t>
      </w:r>
      <w:r>
        <w:rPr>
          <w:i/>
          <w:sz w:val="20"/>
          <w:szCs w:val="20"/>
        </w:rPr>
        <w:t>Leptodactylus macrosternum</w:t>
      </w:r>
      <w:r>
        <w:rPr>
          <w:i/>
          <w:sz w:val="20"/>
          <w:szCs w:val="20"/>
          <w:lang w:val="pt-BR"/>
        </w:rPr>
        <w:t xml:space="preserve">, </w:t>
      </w:r>
      <w:r>
        <w:rPr>
          <w:i/>
          <w:sz w:val="20"/>
          <w:szCs w:val="20"/>
        </w:rPr>
        <w:t>Leptodactylus troglodytes</w:t>
      </w:r>
      <w:r>
        <w:rPr>
          <w:i/>
          <w:sz w:val="20"/>
          <w:szCs w:val="20"/>
          <w:lang w:val="pt-BR"/>
        </w:rPr>
        <w:t xml:space="preserve">, </w:t>
      </w:r>
      <w:r>
        <w:rPr>
          <w:i/>
          <w:sz w:val="20"/>
          <w:szCs w:val="20"/>
        </w:rPr>
        <w:t>Leptodactylus vastus</w:t>
      </w:r>
      <w:r>
        <w:rPr>
          <w:i/>
          <w:sz w:val="20"/>
          <w:szCs w:val="20"/>
          <w:lang w:val="pt-BR"/>
        </w:rPr>
        <w:t xml:space="preserve">, </w:t>
      </w:r>
      <w:r>
        <w:rPr>
          <w:i/>
          <w:sz w:val="20"/>
          <w:szCs w:val="20"/>
        </w:rPr>
        <w:t>Physalaemus albifrons</w:t>
      </w:r>
      <w:r>
        <w:rPr>
          <w:i/>
          <w:sz w:val="20"/>
          <w:szCs w:val="20"/>
          <w:lang w:val="pt-BR"/>
        </w:rPr>
        <w:t xml:space="preserve">, </w:t>
      </w:r>
      <w:r>
        <w:rPr>
          <w:i/>
          <w:sz w:val="20"/>
          <w:szCs w:val="20"/>
        </w:rPr>
        <w:t>Physalaemus cicada</w:t>
      </w:r>
      <w:r>
        <w:rPr>
          <w:i/>
          <w:sz w:val="20"/>
          <w:szCs w:val="20"/>
          <w:lang w:val="pt-BR"/>
        </w:rPr>
        <w:t xml:space="preserve">, </w:t>
      </w:r>
      <w:r>
        <w:rPr>
          <w:i/>
          <w:sz w:val="20"/>
          <w:szCs w:val="20"/>
        </w:rPr>
        <w:t>Physalaemus cuvieri</w:t>
      </w:r>
      <w:r>
        <w:rPr>
          <w:i/>
          <w:sz w:val="20"/>
          <w:szCs w:val="20"/>
          <w:lang w:val="pt-BR"/>
        </w:rPr>
        <w:t xml:space="preserve">, </w:t>
      </w:r>
      <w:r>
        <w:rPr>
          <w:i/>
          <w:sz w:val="20"/>
          <w:szCs w:val="20"/>
        </w:rPr>
        <w:t>Pleurodema diplolister</w:t>
      </w:r>
      <w:r>
        <w:rPr>
          <w:i/>
          <w:sz w:val="20"/>
          <w:szCs w:val="20"/>
          <w:lang w:val="pt-BR"/>
        </w:rPr>
        <w:t xml:space="preserve"> e </w:t>
      </w:r>
      <w:r>
        <w:rPr>
          <w:i/>
          <w:sz w:val="20"/>
          <w:szCs w:val="20"/>
        </w:rPr>
        <w:t>Pseudopaludicola pocoto</w:t>
      </w:r>
      <w:r>
        <w:rPr>
          <w:sz w:val="20"/>
          <w:szCs w:val="20"/>
          <w:lang w:val="pt-BR"/>
        </w:rPr>
        <w:t>), Hylidae (</w:t>
      </w:r>
      <w:r>
        <w:rPr>
          <w:i/>
          <w:sz w:val="20"/>
          <w:szCs w:val="20"/>
        </w:rPr>
        <w:t>Boana raniceps</w:t>
      </w:r>
      <w:r>
        <w:rPr>
          <w:i/>
          <w:sz w:val="20"/>
          <w:szCs w:val="20"/>
          <w:lang w:val="pt-BR"/>
        </w:rPr>
        <w:t xml:space="preserve">, </w:t>
      </w:r>
      <w:proofErr w:type="spellStart"/>
      <w:r w:rsidRPr="00E46A42">
        <w:rPr>
          <w:i/>
          <w:sz w:val="20"/>
          <w:szCs w:val="20"/>
          <w:lang w:val="pt-BR"/>
        </w:rPr>
        <w:t>Corythomantis</w:t>
      </w:r>
      <w:proofErr w:type="spellEnd"/>
      <w:r w:rsidRPr="00E46A42">
        <w:rPr>
          <w:i/>
          <w:sz w:val="20"/>
          <w:szCs w:val="20"/>
          <w:lang w:val="pt-BR"/>
        </w:rPr>
        <w:t xml:space="preserve"> </w:t>
      </w:r>
      <w:proofErr w:type="spellStart"/>
      <w:r w:rsidRPr="00E46A42">
        <w:rPr>
          <w:i/>
          <w:sz w:val="20"/>
          <w:szCs w:val="20"/>
          <w:lang w:val="pt-BR"/>
        </w:rPr>
        <w:t>greening</w:t>
      </w:r>
      <w:r w:rsidR="003D0BCD">
        <w:rPr>
          <w:i/>
          <w:sz w:val="20"/>
          <w:szCs w:val="20"/>
          <w:lang w:val="pt-BR"/>
        </w:rPr>
        <w:t>i</w:t>
      </w:r>
      <w:proofErr w:type="spellEnd"/>
      <w:r w:rsidRPr="00E46A42">
        <w:rPr>
          <w:i/>
          <w:sz w:val="20"/>
          <w:szCs w:val="20"/>
          <w:lang w:val="pt-BR"/>
        </w:rPr>
        <w:t xml:space="preserve">, </w:t>
      </w:r>
      <w:r>
        <w:rPr>
          <w:i/>
          <w:sz w:val="20"/>
          <w:szCs w:val="20"/>
        </w:rPr>
        <w:t>Pithecopus nordestinus</w:t>
      </w:r>
      <w:r>
        <w:rPr>
          <w:i/>
          <w:sz w:val="20"/>
          <w:szCs w:val="20"/>
          <w:lang w:val="pt-BR"/>
        </w:rPr>
        <w:t xml:space="preserve"> e </w:t>
      </w:r>
      <w:proofErr w:type="spellStart"/>
      <w:r w:rsidRPr="00E46A42">
        <w:rPr>
          <w:i/>
          <w:sz w:val="20"/>
          <w:szCs w:val="20"/>
          <w:lang w:val="pt-BR"/>
        </w:rPr>
        <w:t>Scinax</w:t>
      </w:r>
      <w:proofErr w:type="spellEnd"/>
      <w:r w:rsidRPr="00E46A42">
        <w:rPr>
          <w:i/>
          <w:sz w:val="20"/>
          <w:szCs w:val="20"/>
          <w:lang w:val="pt-BR"/>
        </w:rPr>
        <w:t xml:space="preserve"> x-</w:t>
      </w:r>
      <w:proofErr w:type="spellStart"/>
      <w:r w:rsidRPr="00E46A42">
        <w:rPr>
          <w:i/>
          <w:sz w:val="20"/>
          <w:szCs w:val="20"/>
          <w:lang w:val="pt-BR"/>
        </w:rPr>
        <w:t>signatus</w:t>
      </w:r>
      <w:proofErr w:type="spellEnd"/>
      <w:r>
        <w:rPr>
          <w:sz w:val="20"/>
          <w:szCs w:val="20"/>
          <w:lang w:val="pt-BR"/>
        </w:rPr>
        <w:t xml:space="preserve">), </w:t>
      </w:r>
      <w:proofErr w:type="spellStart"/>
      <w:r>
        <w:rPr>
          <w:sz w:val="20"/>
          <w:szCs w:val="20"/>
          <w:lang w:val="pt-BR"/>
        </w:rPr>
        <w:t>Bufonidae</w:t>
      </w:r>
      <w:proofErr w:type="spellEnd"/>
      <w:r>
        <w:rPr>
          <w:sz w:val="20"/>
          <w:szCs w:val="20"/>
          <w:lang w:val="pt-BR"/>
        </w:rPr>
        <w:t xml:space="preserve"> (</w:t>
      </w:r>
      <w:r>
        <w:rPr>
          <w:i/>
          <w:iCs/>
          <w:color w:val="000000"/>
          <w:sz w:val="20"/>
          <w:szCs w:val="20"/>
          <w:shd w:val="clear" w:color="auto" w:fill="FFFFFF"/>
        </w:rPr>
        <w:t>Rhinella diptycha</w:t>
      </w:r>
      <w:r>
        <w:rPr>
          <w:i/>
          <w:iCs/>
          <w:color w:val="000000"/>
          <w:sz w:val="20"/>
          <w:szCs w:val="20"/>
          <w:shd w:val="clear" w:color="auto" w:fill="FFFFFF"/>
          <w:lang w:val="pt-BR"/>
        </w:rPr>
        <w:t xml:space="preserve"> e </w:t>
      </w:r>
      <w:r>
        <w:rPr>
          <w:i/>
          <w:iCs/>
          <w:color w:val="000000"/>
          <w:sz w:val="20"/>
          <w:szCs w:val="20"/>
          <w:shd w:val="clear" w:color="auto" w:fill="FFFFFF"/>
        </w:rPr>
        <w:t>Rhinella granulosa</w:t>
      </w:r>
      <w:r>
        <w:rPr>
          <w:sz w:val="20"/>
          <w:szCs w:val="20"/>
          <w:lang w:val="pt-BR"/>
        </w:rPr>
        <w:t>), Microhylidae (</w:t>
      </w:r>
      <w:r>
        <w:rPr>
          <w:i/>
          <w:sz w:val="20"/>
          <w:szCs w:val="20"/>
        </w:rPr>
        <w:t>Dermatonotus muelleri</w:t>
      </w:r>
      <w:r>
        <w:rPr>
          <w:sz w:val="20"/>
          <w:szCs w:val="20"/>
          <w:lang w:val="pt-BR"/>
        </w:rPr>
        <w:t xml:space="preserve">), </w:t>
      </w:r>
      <w:proofErr w:type="spellStart"/>
      <w:r>
        <w:rPr>
          <w:sz w:val="20"/>
          <w:szCs w:val="20"/>
          <w:lang w:val="pt-BR"/>
        </w:rPr>
        <w:t>Pipidae</w:t>
      </w:r>
      <w:proofErr w:type="spellEnd"/>
      <w:r>
        <w:rPr>
          <w:sz w:val="20"/>
          <w:szCs w:val="20"/>
          <w:lang w:val="pt-BR"/>
        </w:rPr>
        <w:t xml:space="preserve"> (</w:t>
      </w:r>
      <w:r>
        <w:rPr>
          <w:i/>
          <w:sz w:val="20"/>
          <w:szCs w:val="20"/>
        </w:rPr>
        <w:t>Pipa carvalhoi</w:t>
      </w:r>
      <w:r>
        <w:rPr>
          <w:sz w:val="20"/>
          <w:szCs w:val="20"/>
          <w:lang w:val="pt-BR"/>
        </w:rPr>
        <w:t xml:space="preserve">) e </w:t>
      </w:r>
      <w:proofErr w:type="spellStart"/>
      <w:r>
        <w:rPr>
          <w:sz w:val="20"/>
          <w:szCs w:val="20"/>
          <w:lang w:val="pt-BR"/>
        </w:rPr>
        <w:t>Odontophrynidae</w:t>
      </w:r>
      <w:proofErr w:type="spellEnd"/>
      <w:r>
        <w:rPr>
          <w:sz w:val="20"/>
          <w:szCs w:val="20"/>
          <w:lang w:val="pt-BR"/>
        </w:rPr>
        <w:t xml:space="preserve"> (</w:t>
      </w:r>
      <w:r>
        <w:rPr>
          <w:i/>
          <w:sz w:val="20"/>
          <w:szCs w:val="20"/>
        </w:rPr>
        <w:t>Proceratophrys cristiceps</w:t>
      </w:r>
      <w:r>
        <w:rPr>
          <w:sz w:val="20"/>
          <w:szCs w:val="20"/>
          <w:lang w:val="pt-BR"/>
        </w:rPr>
        <w:t xml:space="preserve">). </w:t>
      </w:r>
    </w:p>
    <w:p w14:paraId="18239445" w14:textId="77777777" w:rsidR="00864D83" w:rsidRDefault="00233B7B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A curva de rarefação de espécies apresentou-se assintótica, resultando que o esforço amostral foi suficiente para representar a </w:t>
      </w:r>
      <w:proofErr w:type="spellStart"/>
      <w:r>
        <w:rPr>
          <w:sz w:val="20"/>
          <w:szCs w:val="20"/>
          <w:lang w:val="pt-BR"/>
        </w:rPr>
        <w:t>anurofauna</w:t>
      </w:r>
      <w:proofErr w:type="spellEnd"/>
      <w:r>
        <w:rPr>
          <w:sz w:val="20"/>
          <w:szCs w:val="20"/>
          <w:lang w:val="pt-BR"/>
        </w:rPr>
        <w:t xml:space="preserve"> da área</w:t>
      </w:r>
      <w:r w:rsidR="00CD5704">
        <w:rPr>
          <w:sz w:val="20"/>
          <w:szCs w:val="20"/>
          <w:lang w:val="pt-BR"/>
        </w:rPr>
        <w:t>.</w:t>
      </w:r>
      <w:r>
        <w:rPr>
          <w:sz w:val="20"/>
          <w:szCs w:val="20"/>
          <w:lang w:val="pt-BR"/>
        </w:rPr>
        <w:t xml:space="preserve"> O </w:t>
      </w:r>
      <w:proofErr w:type="spellStart"/>
      <w:r>
        <w:rPr>
          <w:sz w:val="20"/>
          <w:szCs w:val="20"/>
          <w:lang w:val="pt-BR"/>
        </w:rPr>
        <w:t>Chao</w:t>
      </w:r>
      <w:proofErr w:type="spellEnd"/>
      <w:r>
        <w:rPr>
          <w:sz w:val="20"/>
          <w:szCs w:val="20"/>
          <w:lang w:val="pt-BR"/>
        </w:rPr>
        <w:t xml:space="preserve"> 1 determinou que, nas áreas T1 e T3, a riqueza foi semelhante ao estimador de riqueza e, apenas a área T2 foi menor que o estimador (n= 15,5± 6). </w:t>
      </w:r>
    </w:p>
    <w:p w14:paraId="27FBEC97" w14:textId="77777777" w:rsidR="00864D83" w:rsidRDefault="00233B7B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Os três ambientes apresentaram composição de espécies diferentes (</w:t>
      </w:r>
      <w:commentRangeStart w:id="0"/>
      <w:commentRangeStart w:id="1"/>
      <w:r>
        <w:rPr>
          <w:sz w:val="20"/>
          <w:szCs w:val="20"/>
          <w:lang w:val="pt-BR"/>
        </w:rPr>
        <w:t>Tabela 1</w:t>
      </w:r>
      <w:commentRangeEnd w:id="0"/>
      <w:r>
        <w:commentReference w:id="0"/>
      </w:r>
      <w:commentRangeEnd w:id="1"/>
      <w:r w:rsidR="0031387A">
        <w:rPr>
          <w:rStyle w:val="Refdecomentrio"/>
          <w:rFonts w:ascii="Times New Roman" w:eastAsia="Times New Roman" w:hAnsi="Times New Roman" w:cs="Times New Roman"/>
          <w:lang w:val="pt-BR"/>
        </w:rPr>
        <w:commentReference w:id="1"/>
      </w:r>
      <w:r>
        <w:rPr>
          <w:sz w:val="20"/>
          <w:szCs w:val="20"/>
          <w:lang w:val="pt-BR"/>
        </w:rPr>
        <w:t>. Nove das 18 espécies foram observadas nas três áreas, e duas (</w:t>
      </w:r>
      <w:proofErr w:type="spellStart"/>
      <w:r>
        <w:rPr>
          <w:i/>
          <w:sz w:val="20"/>
          <w:szCs w:val="20"/>
          <w:lang w:val="pt-BR"/>
        </w:rPr>
        <w:t>Dermatonotus</w:t>
      </w:r>
      <w:proofErr w:type="spellEnd"/>
      <w:r>
        <w:rPr>
          <w:i/>
          <w:sz w:val="20"/>
          <w:szCs w:val="20"/>
          <w:lang w:val="pt-BR"/>
        </w:rPr>
        <w:t xml:space="preserve"> </w:t>
      </w:r>
      <w:proofErr w:type="spellStart"/>
      <w:r>
        <w:rPr>
          <w:i/>
          <w:sz w:val="20"/>
          <w:szCs w:val="20"/>
          <w:lang w:val="pt-BR"/>
        </w:rPr>
        <w:t>muelleri</w:t>
      </w:r>
      <w:proofErr w:type="spellEnd"/>
      <w:r>
        <w:rPr>
          <w:i/>
          <w:sz w:val="20"/>
          <w:szCs w:val="20"/>
          <w:lang w:val="pt-BR"/>
        </w:rPr>
        <w:t xml:space="preserve"> e </w:t>
      </w:r>
      <w:proofErr w:type="spellStart"/>
      <w:r>
        <w:rPr>
          <w:i/>
          <w:sz w:val="20"/>
          <w:szCs w:val="20"/>
          <w:lang w:val="pt-BR"/>
        </w:rPr>
        <w:t>Physalaemus</w:t>
      </w:r>
      <w:proofErr w:type="spellEnd"/>
      <w:r>
        <w:rPr>
          <w:i/>
          <w:sz w:val="20"/>
          <w:szCs w:val="20"/>
          <w:lang w:val="pt-BR"/>
        </w:rPr>
        <w:t xml:space="preserve"> </w:t>
      </w:r>
      <w:proofErr w:type="spellStart"/>
      <w:r>
        <w:rPr>
          <w:i/>
          <w:sz w:val="20"/>
          <w:szCs w:val="20"/>
          <w:lang w:val="pt-BR"/>
        </w:rPr>
        <w:t>cuvieri</w:t>
      </w:r>
      <w:proofErr w:type="spellEnd"/>
      <w:r>
        <w:rPr>
          <w:sz w:val="20"/>
          <w:szCs w:val="20"/>
          <w:lang w:val="pt-BR"/>
        </w:rPr>
        <w:t xml:space="preserve">) foram encontradas em apenas uma área. </w:t>
      </w:r>
    </w:p>
    <w:p w14:paraId="06B02850" w14:textId="77777777" w:rsidR="00DA6DAB" w:rsidRDefault="00CD5704" w:rsidP="00CD5704">
      <w:pPr>
        <w:spacing w:line="240" w:lineRule="auto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ab/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4356"/>
        <w:gridCol w:w="617"/>
        <w:gridCol w:w="817"/>
        <w:gridCol w:w="497"/>
        <w:gridCol w:w="510"/>
        <w:gridCol w:w="497"/>
      </w:tblGrid>
      <w:tr w:rsidR="0064296F" w:rsidRPr="0031387A" w14:paraId="1D390130" w14:textId="77777777" w:rsidTr="00DD2CF2">
        <w:trPr>
          <w:jc w:val="center"/>
        </w:trPr>
        <w:tc>
          <w:tcPr>
            <w:tcW w:w="1951" w:type="dxa"/>
          </w:tcPr>
          <w:p w14:paraId="2F07352B" w14:textId="77777777" w:rsidR="00DA6DAB" w:rsidRPr="0031387A" w:rsidRDefault="00DA6DAB" w:rsidP="0031387A">
            <w:pPr>
              <w:spacing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31387A">
              <w:rPr>
                <w:b/>
                <w:sz w:val="20"/>
                <w:szCs w:val="20"/>
              </w:rPr>
              <w:t>Família</w:t>
            </w:r>
          </w:p>
        </w:tc>
        <w:tc>
          <w:tcPr>
            <w:tcW w:w="4356" w:type="dxa"/>
          </w:tcPr>
          <w:p w14:paraId="428F7DA0" w14:textId="77777777" w:rsidR="00DA6DAB" w:rsidRPr="0031387A" w:rsidRDefault="00DA6DAB" w:rsidP="0031387A">
            <w:pPr>
              <w:spacing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31387A">
              <w:rPr>
                <w:b/>
                <w:sz w:val="20"/>
                <w:szCs w:val="20"/>
              </w:rPr>
              <w:t>Espécie</w:t>
            </w:r>
          </w:p>
        </w:tc>
        <w:tc>
          <w:tcPr>
            <w:tcW w:w="617" w:type="dxa"/>
          </w:tcPr>
          <w:p w14:paraId="15D33626" w14:textId="77777777" w:rsidR="00DA6DAB" w:rsidRPr="0031387A" w:rsidRDefault="00DA6DAB" w:rsidP="0031387A">
            <w:pPr>
              <w:spacing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31387A">
              <w:rPr>
                <w:b/>
                <w:sz w:val="20"/>
                <w:szCs w:val="20"/>
                <w:lang w:val="pt-BR"/>
              </w:rPr>
              <w:t>N</w:t>
            </w:r>
          </w:p>
        </w:tc>
        <w:tc>
          <w:tcPr>
            <w:tcW w:w="817" w:type="dxa"/>
          </w:tcPr>
          <w:p w14:paraId="62D10D2B" w14:textId="77777777" w:rsidR="00DA6DAB" w:rsidRPr="0031387A" w:rsidRDefault="00DA6DAB" w:rsidP="0031387A">
            <w:pPr>
              <w:spacing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31387A">
              <w:rPr>
                <w:b/>
                <w:sz w:val="20"/>
                <w:szCs w:val="20"/>
                <w:lang w:val="pt-BR"/>
              </w:rPr>
              <w:t>(%)</w:t>
            </w:r>
          </w:p>
        </w:tc>
        <w:tc>
          <w:tcPr>
            <w:tcW w:w="497" w:type="dxa"/>
          </w:tcPr>
          <w:p w14:paraId="08F321C3" w14:textId="77777777" w:rsidR="00DA6DAB" w:rsidRPr="0031387A" w:rsidRDefault="00DA6DAB" w:rsidP="0031387A">
            <w:pPr>
              <w:spacing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31387A">
              <w:rPr>
                <w:b/>
                <w:sz w:val="20"/>
                <w:szCs w:val="20"/>
                <w:lang w:val="pt-BR"/>
              </w:rPr>
              <w:t>T1</w:t>
            </w:r>
          </w:p>
        </w:tc>
        <w:tc>
          <w:tcPr>
            <w:tcW w:w="510" w:type="dxa"/>
          </w:tcPr>
          <w:p w14:paraId="7262E1F8" w14:textId="77777777" w:rsidR="00DA6DAB" w:rsidRPr="0031387A" w:rsidRDefault="00DA6DAB" w:rsidP="0031387A">
            <w:pPr>
              <w:spacing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31387A">
              <w:rPr>
                <w:b/>
                <w:sz w:val="20"/>
                <w:szCs w:val="20"/>
                <w:lang w:val="pt-BR"/>
              </w:rPr>
              <w:t>T2</w:t>
            </w:r>
          </w:p>
        </w:tc>
        <w:tc>
          <w:tcPr>
            <w:tcW w:w="497" w:type="dxa"/>
          </w:tcPr>
          <w:p w14:paraId="5683E6C5" w14:textId="77777777" w:rsidR="00DA6DAB" w:rsidRPr="0031387A" w:rsidRDefault="00DA6DAB" w:rsidP="0031387A">
            <w:pPr>
              <w:spacing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31387A">
              <w:rPr>
                <w:b/>
                <w:sz w:val="20"/>
                <w:szCs w:val="20"/>
                <w:lang w:val="pt-BR"/>
              </w:rPr>
              <w:t>T3</w:t>
            </w:r>
          </w:p>
        </w:tc>
      </w:tr>
      <w:tr w:rsidR="0064296F" w:rsidRPr="0031387A" w14:paraId="181CCD76" w14:textId="77777777" w:rsidTr="00DD2CF2">
        <w:trPr>
          <w:jc w:val="center"/>
        </w:trPr>
        <w:tc>
          <w:tcPr>
            <w:tcW w:w="1951" w:type="dxa"/>
          </w:tcPr>
          <w:p w14:paraId="2EEF5E50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Bufonidae</w:t>
            </w:r>
          </w:p>
        </w:tc>
        <w:tc>
          <w:tcPr>
            <w:tcW w:w="4356" w:type="dxa"/>
          </w:tcPr>
          <w:p w14:paraId="3001EEAB" w14:textId="77777777" w:rsidR="00DA6DAB" w:rsidRPr="0031387A" w:rsidRDefault="00DA6DAB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i/>
                <w:sz w:val="20"/>
                <w:szCs w:val="20"/>
              </w:rPr>
              <w:t xml:space="preserve">Rhinella granulosa </w:t>
            </w:r>
            <w:r w:rsidRPr="0031387A">
              <w:rPr>
                <w:sz w:val="20"/>
                <w:szCs w:val="20"/>
              </w:rPr>
              <w:t>(Spix, 1824)</w:t>
            </w:r>
          </w:p>
        </w:tc>
        <w:tc>
          <w:tcPr>
            <w:tcW w:w="617" w:type="dxa"/>
          </w:tcPr>
          <w:p w14:paraId="552DD429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58</w:t>
            </w:r>
          </w:p>
        </w:tc>
        <w:tc>
          <w:tcPr>
            <w:tcW w:w="817" w:type="dxa"/>
          </w:tcPr>
          <w:p w14:paraId="5A311205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2,89</w:t>
            </w:r>
          </w:p>
        </w:tc>
        <w:tc>
          <w:tcPr>
            <w:tcW w:w="497" w:type="dxa"/>
          </w:tcPr>
          <w:p w14:paraId="278D1D97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510" w:type="dxa"/>
          </w:tcPr>
          <w:p w14:paraId="6BB4E02D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497" w:type="dxa"/>
          </w:tcPr>
          <w:p w14:paraId="150912A4" w14:textId="77777777" w:rsidR="00DA6DAB" w:rsidRPr="0031387A" w:rsidRDefault="0031387A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X</w:t>
            </w:r>
          </w:p>
        </w:tc>
      </w:tr>
      <w:tr w:rsidR="0064296F" w:rsidRPr="0031387A" w14:paraId="3703D7CE" w14:textId="77777777" w:rsidTr="00DD2CF2">
        <w:trPr>
          <w:jc w:val="center"/>
        </w:trPr>
        <w:tc>
          <w:tcPr>
            <w:tcW w:w="1951" w:type="dxa"/>
          </w:tcPr>
          <w:p w14:paraId="2402DDF8" w14:textId="77777777" w:rsidR="00DA6DAB" w:rsidRPr="0031387A" w:rsidRDefault="00DA6DAB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</w:p>
        </w:tc>
        <w:tc>
          <w:tcPr>
            <w:tcW w:w="4356" w:type="dxa"/>
          </w:tcPr>
          <w:p w14:paraId="1D0A2C1E" w14:textId="77777777" w:rsidR="00DA6DAB" w:rsidRPr="0031387A" w:rsidRDefault="00DA6DAB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i/>
                <w:sz w:val="20"/>
                <w:szCs w:val="20"/>
              </w:rPr>
              <w:t xml:space="preserve">Rhinella jimi </w:t>
            </w:r>
            <w:r w:rsidRPr="0031387A">
              <w:rPr>
                <w:sz w:val="20"/>
                <w:szCs w:val="20"/>
              </w:rPr>
              <w:t>(Stevaux, 2002)</w:t>
            </w:r>
          </w:p>
        </w:tc>
        <w:tc>
          <w:tcPr>
            <w:tcW w:w="617" w:type="dxa"/>
          </w:tcPr>
          <w:p w14:paraId="2A4B3724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100</w:t>
            </w:r>
          </w:p>
        </w:tc>
        <w:tc>
          <w:tcPr>
            <w:tcW w:w="817" w:type="dxa"/>
          </w:tcPr>
          <w:p w14:paraId="228F3B6B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4,99</w:t>
            </w:r>
          </w:p>
        </w:tc>
        <w:tc>
          <w:tcPr>
            <w:tcW w:w="497" w:type="dxa"/>
          </w:tcPr>
          <w:p w14:paraId="6BE73B74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510" w:type="dxa"/>
          </w:tcPr>
          <w:p w14:paraId="20E0CB33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497" w:type="dxa"/>
          </w:tcPr>
          <w:p w14:paraId="6AE03951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</w:tr>
      <w:tr w:rsidR="0064296F" w:rsidRPr="0031387A" w14:paraId="0938F9E8" w14:textId="77777777" w:rsidTr="00DD2CF2">
        <w:trPr>
          <w:jc w:val="center"/>
        </w:trPr>
        <w:tc>
          <w:tcPr>
            <w:tcW w:w="1951" w:type="dxa"/>
          </w:tcPr>
          <w:p w14:paraId="297ACB96" w14:textId="77777777" w:rsidR="00DA6DAB" w:rsidRPr="0031387A" w:rsidRDefault="00DA6DAB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sz w:val="20"/>
                <w:szCs w:val="20"/>
              </w:rPr>
              <w:t>Hylidae</w:t>
            </w:r>
          </w:p>
        </w:tc>
        <w:tc>
          <w:tcPr>
            <w:tcW w:w="4356" w:type="dxa"/>
          </w:tcPr>
          <w:p w14:paraId="66E0F37C" w14:textId="77777777" w:rsidR="00DA6DAB" w:rsidRPr="0031387A" w:rsidRDefault="00DA6DAB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i/>
                <w:sz w:val="20"/>
                <w:szCs w:val="20"/>
              </w:rPr>
              <w:t xml:space="preserve">Boana raniceps </w:t>
            </w:r>
            <w:r w:rsidRPr="0031387A">
              <w:rPr>
                <w:sz w:val="20"/>
                <w:szCs w:val="20"/>
              </w:rPr>
              <w:t>(Cope, 1862)</w:t>
            </w:r>
          </w:p>
        </w:tc>
        <w:tc>
          <w:tcPr>
            <w:tcW w:w="617" w:type="dxa"/>
          </w:tcPr>
          <w:p w14:paraId="5EE9CC83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92</w:t>
            </w:r>
          </w:p>
        </w:tc>
        <w:tc>
          <w:tcPr>
            <w:tcW w:w="817" w:type="dxa"/>
          </w:tcPr>
          <w:p w14:paraId="4A57B014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4,59</w:t>
            </w:r>
          </w:p>
        </w:tc>
        <w:tc>
          <w:tcPr>
            <w:tcW w:w="497" w:type="dxa"/>
          </w:tcPr>
          <w:p w14:paraId="210ADE16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510" w:type="dxa"/>
          </w:tcPr>
          <w:p w14:paraId="38F6BE45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497" w:type="dxa"/>
          </w:tcPr>
          <w:p w14:paraId="6CEE3375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</w:tr>
      <w:tr w:rsidR="0064296F" w:rsidRPr="0031387A" w14:paraId="0F82262B" w14:textId="77777777" w:rsidTr="00DD2CF2">
        <w:trPr>
          <w:jc w:val="center"/>
        </w:trPr>
        <w:tc>
          <w:tcPr>
            <w:tcW w:w="1951" w:type="dxa"/>
          </w:tcPr>
          <w:p w14:paraId="69D7EA0F" w14:textId="77777777" w:rsidR="00DA6DAB" w:rsidRPr="0031387A" w:rsidRDefault="00DA6DAB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</w:p>
        </w:tc>
        <w:tc>
          <w:tcPr>
            <w:tcW w:w="4356" w:type="dxa"/>
          </w:tcPr>
          <w:p w14:paraId="1B3B24CF" w14:textId="77777777" w:rsidR="00DA6DAB" w:rsidRPr="0031387A" w:rsidRDefault="00DA6DAB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proofErr w:type="spellStart"/>
            <w:r w:rsidRPr="0031387A">
              <w:rPr>
                <w:i/>
                <w:sz w:val="20"/>
                <w:szCs w:val="20"/>
                <w:lang w:val="en-US"/>
              </w:rPr>
              <w:t>Corythomantis</w:t>
            </w:r>
            <w:proofErr w:type="spellEnd"/>
            <w:r w:rsidRPr="0031387A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387A">
              <w:rPr>
                <w:i/>
                <w:sz w:val="20"/>
                <w:szCs w:val="20"/>
                <w:lang w:val="en-US"/>
              </w:rPr>
              <w:t>greeningi</w:t>
            </w:r>
            <w:proofErr w:type="spellEnd"/>
            <w:r w:rsidRPr="0031387A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1387A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31387A">
              <w:rPr>
                <w:sz w:val="20"/>
                <w:szCs w:val="20"/>
                <w:lang w:val="en-US"/>
              </w:rPr>
              <w:t>Boulenger</w:t>
            </w:r>
            <w:proofErr w:type="spellEnd"/>
            <w:r w:rsidRPr="0031387A">
              <w:rPr>
                <w:sz w:val="20"/>
                <w:szCs w:val="20"/>
                <w:lang w:val="en-US"/>
              </w:rPr>
              <w:t>, 1896)</w:t>
            </w:r>
          </w:p>
        </w:tc>
        <w:tc>
          <w:tcPr>
            <w:tcW w:w="617" w:type="dxa"/>
          </w:tcPr>
          <w:p w14:paraId="46FFC721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31387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17" w:type="dxa"/>
          </w:tcPr>
          <w:p w14:paraId="5D872417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31387A">
              <w:rPr>
                <w:sz w:val="20"/>
                <w:szCs w:val="20"/>
                <w:lang w:val="en-US"/>
              </w:rPr>
              <w:t>0,30</w:t>
            </w:r>
          </w:p>
        </w:tc>
        <w:tc>
          <w:tcPr>
            <w:tcW w:w="497" w:type="dxa"/>
          </w:tcPr>
          <w:p w14:paraId="24805DCC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31387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0" w:type="dxa"/>
          </w:tcPr>
          <w:p w14:paraId="6B9B33F9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31387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97" w:type="dxa"/>
          </w:tcPr>
          <w:p w14:paraId="3C25C1A2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31387A">
              <w:rPr>
                <w:sz w:val="20"/>
                <w:szCs w:val="20"/>
                <w:lang w:val="en-US"/>
              </w:rPr>
              <w:t>X</w:t>
            </w:r>
          </w:p>
        </w:tc>
      </w:tr>
      <w:tr w:rsidR="0064296F" w:rsidRPr="0031387A" w14:paraId="15E45C6E" w14:textId="77777777" w:rsidTr="00DD2CF2">
        <w:trPr>
          <w:jc w:val="center"/>
        </w:trPr>
        <w:tc>
          <w:tcPr>
            <w:tcW w:w="1951" w:type="dxa"/>
          </w:tcPr>
          <w:p w14:paraId="0EFEE996" w14:textId="77777777" w:rsidR="00DA6DAB" w:rsidRPr="0031387A" w:rsidRDefault="00DA6DAB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</w:p>
        </w:tc>
        <w:tc>
          <w:tcPr>
            <w:tcW w:w="4356" w:type="dxa"/>
          </w:tcPr>
          <w:p w14:paraId="6453C82D" w14:textId="77777777" w:rsidR="00DA6DAB" w:rsidRPr="0031387A" w:rsidRDefault="00DA6DAB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i/>
                <w:sz w:val="20"/>
                <w:szCs w:val="20"/>
              </w:rPr>
              <w:t xml:space="preserve">Pithecopus nordestinus </w:t>
            </w:r>
            <w:r w:rsidRPr="0031387A">
              <w:rPr>
                <w:sz w:val="20"/>
                <w:szCs w:val="20"/>
              </w:rPr>
              <w:t>(Caramaschi, 2006)</w:t>
            </w:r>
          </w:p>
        </w:tc>
        <w:tc>
          <w:tcPr>
            <w:tcW w:w="617" w:type="dxa"/>
          </w:tcPr>
          <w:p w14:paraId="7D335863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43</w:t>
            </w:r>
          </w:p>
        </w:tc>
        <w:tc>
          <w:tcPr>
            <w:tcW w:w="817" w:type="dxa"/>
          </w:tcPr>
          <w:p w14:paraId="35D2B957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2,14</w:t>
            </w:r>
          </w:p>
        </w:tc>
        <w:tc>
          <w:tcPr>
            <w:tcW w:w="497" w:type="dxa"/>
          </w:tcPr>
          <w:p w14:paraId="701CFD51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14:paraId="232F0DE7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497" w:type="dxa"/>
          </w:tcPr>
          <w:p w14:paraId="5F352BF6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</w:tr>
      <w:tr w:rsidR="0064296F" w:rsidRPr="0031387A" w14:paraId="24ED34FA" w14:textId="77777777" w:rsidTr="00DD2CF2">
        <w:trPr>
          <w:jc w:val="center"/>
        </w:trPr>
        <w:tc>
          <w:tcPr>
            <w:tcW w:w="1951" w:type="dxa"/>
          </w:tcPr>
          <w:p w14:paraId="74BA9630" w14:textId="77777777" w:rsidR="00DA6DAB" w:rsidRPr="0031387A" w:rsidRDefault="00DA6DAB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</w:p>
        </w:tc>
        <w:tc>
          <w:tcPr>
            <w:tcW w:w="4356" w:type="dxa"/>
          </w:tcPr>
          <w:p w14:paraId="3520B26A" w14:textId="77777777" w:rsidR="00DA6DAB" w:rsidRPr="0031387A" w:rsidRDefault="00DA6DAB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proofErr w:type="spellStart"/>
            <w:r w:rsidRPr="0031387A">
              <w:rPr>
                <w:i/>
                <w:sz w:val="20"/>
                <w:szCs w:val="20"/>
                <w:lang w:val="en-US"/>
              </w:rPr>
              <w:t>Scinax</w:t>
            </w:r>
            <w:proofErr w:type="spellEnd"/>
            <w:r w:rsidRPr="0031387A">
              <w:rPr>
                <w:i/>
                <w:sz w:val="20"/>
                <w:szCs w:val="20"/>
                <w:lang w:val="en-US"/>
              </w:rPr>
              <w:t xml:space="preserve"> x-</w:t>
            </w:r>
            <w:proofErr w:type="spellStart"/>
            <w:r w:rsidRPr="0031387A">
              <w:rPr>
                <w:i/>
                <w:sz w:val="20"/>
                <w:szCs w:val="20"/>
                <w:lang w:val="en-US"/>
              </w:rPr>
              <w:t>signatus</w:t>
            </w:r>
            <w:proofErr w:type="spellEnd"/>
            <w:r w:rsidRPr="0031387A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1387A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31387A">
              <w:rPr>
                <w:sz w:val="20"/>
                <w:szCs w:val="20"/>
                <w:lang w:val="en-US"/>
              </w:rPr>
              <w:t>Spix</w:t>
            </w:r>
            <w:proofErr w:type="spellEnd"/>
            <w:r w:rsidRPr="0031387A">
              <w:rPr>
                <w:sz w:val="20"/>
                <w:szCs w:val="20"/>
                <w:lang w:val="en-US"/>
              </w:rPr>
              <w:t>, 1824)</w:t>
            </w:r>
          </w:p>
        </w:tc>
        <w:tc>
          <w:tcPr>
            <w:tcW w:w="617" w:type="dxa"/>
          </w:tcPr>
          <w:p w14:paraId="42695377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16</w:t>
            </w:r>
          </w:p>
        </w:tc>
        <w:tc>
          <w:tcPr>
            <w:tcW w:w="817" w:type="dxa"/>
          </w:tcPr>
          <w:p w14:paraId="5DB3D698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0,80</w:t>
            </w:r>
          </w:p>
        </w:tc>
        <w:tc>
          <w:tcPr>
            <w:tcW w:w="497" w:type="dxa"/>
          </w:tcPr>
          <w:p w14:paraId="573C614E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14:paraId="426DD03E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497" w:type="dxa"/>
          </w:tcPr>
          <w:p w14:paraId="09DAAB60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</w:tr>
      <w:tr w:rsidR="00DA6DAB" w:rsidRPr="0031387A" w14:paraId="2CCEEE2E" w14:textId="77777777" w:rsidTr="00DD2CF2">
        <w:trPr>
          <w:jc w:val="center"/>
        </w:trPr>
        <w:tc>
          <w:tcPr>
            <w:tcW w:w="1951" w:type="dxa"/>
          </w:tcPr>
          <w:p w14:paraId="3B163004" w14:textId="77777777" w:rsidR="00DA6DAB" w:rsidRPr="0031387A" w:rsidRDefault="00DA6DAB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sz w:val="20"/>
                <w:szCs w:val="20"/>
              </w:rPr>
              <w:t>Leptodactylidae</w:t>
            </w:r>
          </w:p>
        </w:tc>
        <w:tc>
          <w:tcPr>
            <w:tcW w:w="4356" w:type="dxa"/>
          </w:tcPr>
          <w:p w14:paraId="5D3CD115" w14:textId="77777777" w:rsidR="00DA6DAB" w:rsidRPr="0031387A" w:rsidRDefault="00DA6DAB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i/>
                <w:sz w:val="20"/>
                <w:szCs w:val="20"/>
              </w:rPr>
              <w:t xml:space="preserve">Leptodactylus fuscus </w:t>
            </w:r>
            <w:r w:rsidRPr="0031387A">
              <w:rPr>
                <w:sz w:val="20"/>
                <w:szCs w:val="20"/>
              </w:rPr>
              <w:t>(Schineider, 1799)</w:t>
            </w:r>
          </w:p>
        </w:tc>
        <w:tc>
          <w:tcPr>
            <w:tcW w:w="617" w:type="dxa"/>
          </w:tcPr>
          <w:p w14:paraId="012E0559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126</w:t>
            </w:r>
          </w:p>
        </w:tc>
        <w:tc>
          <w:tcPr>
            <w:tcW w:w="817" w:type="dxa"/>
          </w:tcPr>
          <w:p w14:paraId="5D8FDE54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6,28</w:t>
            </w:r>
          </w:p>
        </w:tc>
        <w:tc>
          <w:tcPr>
            <w:tcW w:w="497" w:type="dxa"/>
          </w:tcPr>
          <w:p w14:paraId="735122CB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510" w:type="dxa"/>
          </w:tcPr>
          <w:p w14:paraId="0AB0A8BB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497" w:type="dxa"/>
          </w:tcPr>
          <w:p w14:paraId="3645BF76" w14:textId="77777777" w:rsidR="00DA6DAB" w:rsidRPr="0031387A" w:rsidRDefault="00DA6DAB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</w:tr>
      <w:tr w:rsidR="0064296F" w:rsidRPr="0031387A" w14:paraId="33F45896" w14:textId="77777777" w:rsidTr="00DD2CF2">
        <w:trPr>
          <w:jc w:val="center"/>
        </w:trPr>
        <w:tc>
          <w:tcPr>
            <w:tcW w:w="1951" w:type="dxa"/>
          </w:tcPr>
          <w:p w14:paraId="19942C29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</w:p>
        </w:tc>
        <w:tc>
          <w:tcPr>
            <w:tcW w:w="4356" w:type="dxa"/>
          </w:tcPr>
          <w:p w14:paraId="646EE561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i/>
                <w:sz w:val="20"/>
                <w:szCs w:val="20"/>
              </w:rPr>
              <w:t xml:space="preserve">Leptodactylus </w:t>
            </w:r>
            <w:bookmarkStart w:id="2" w:name="_GoBack"/>
            <w:bookmarkEnd w:id="2"/>
            <w:r w:rsidRPr="0031387A">
              <w:rPr>
                <w:i/>
                <w:sz w:val="20"/>
                <w:szCs w:val="20"/>
              </w:rPr>
              <w:t xml:space="preserve">macrosternum </w:t>
            </w:r>
            <w:r w:rsidRPr="0031387A">
              <w:rPr>
                <w:sz w:val="20"/>
                <w:szCs w:val="20"/>
              </w:rPr>
              <w:t>(Miranda-Ribeiro, 1926)</w:t>
            </w:r>
          </w:p>
        </w:tc>
        <w:tc>
          <w:tcPr>
            <w:tcW w:w="617" w:type="dxa"/>
          </w:tcPr>
          <w:p w14:paraId="0D6294D4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854</w:t>
            </w:r>
          </w:p>
        </w:tc>
        <w:tc>
          <w:tcPr>
            <w:tcW w:w="817" w:type="dxa"/>
          </w:tcPr>
          <w:p w14:paraId="19F453A6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42,57</w:t>
            </w:r>
          </w:p>
        </w:tc>
        <w:tc>
          <w:tcPr>
            <w:tcW w:w="497" w:type="dxa"/>
          </w:tcPr>
          <w:p w14:paraId="4D39B77C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510" w:type="dxa"/>
          </w:tcPr>
          <w:p w14:paraId="3A40E205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497" w:type="dxa"/>
          </w:tcPr>
          <w:p w14:paraId="662BA8B7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</w:tr>
      <w:tr w:rsidR="0064296F" w:rsidRPr="0031387A" w14:paraId="6EFE304B" w14:textId="77777777" w:rsidTr="00DD2CF2">
        <w:trPr>
          <w:jc w:val="center"/>
        </w:trPr>
        <w:tc>
          <w:tcPr>
            <w:tcW w:w="1951" w:type="dxa"/>
          </w:tcPr>
          <w:p w14:paraId="3FF73FBE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</w:p>
        </w:tc>
        <w:tc>
          <w:tcPr>
            <w:tcW w:w="4356" w:type="dxa"/>
          </w:tcPr>
          <w:p w14:paraId="0B554048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i/>
                <w:sz w:val="20"/>
                <w:szCs w:val="20"/>
              </w:rPr>
              <w:t xml:space="preserve">Leptodactylus troglodytes </w:t>
            </w:r>
            <w:r w:rsidRPr="0031387A">
              <w:rPr>
                <w:sz w:val="20"/>
                <w:szCs w:val="20"/>
              </w:rPr>
              <w:t>(A. Lutz, 1926)</w:t>
            </w:r>
          </w:p>
        </w:tc>
        <w:tc>
          <w:tcPr>
            <w:tcW w:w="617" w:type="dxa"/>
          </w:tcPr>
          <w:p w14:paraId="608FBEFB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87</w:t>
            </w:r>
          </w:p>
        </w:tc>
        <w:tc>
          <w:tcPr>
            <w:tcW w:w="817" w:type="dxa"/>
          </w:tcPr>
          <w:p w14:paraId="059E7F33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4,34</w:t>
            </w:r>
          </w:p>
        </w:tc>
        <w:tc>
          <w:tcPr>
            <w:tcW w:w="497" w:type="dxa"/>
          </w:tcPr>
          <w:p w14:paraId="2C827D1A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510" w:type="dxa"/>
          </w:tcPr>
          <w:p w14:paraId="2506236A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497" w:type="dxa"/>
          </w:tcPr>
          <w:p w14:paraId="77897298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</w:tr>
      <w:tr w:rsidR="0064296F" w:rsidRPr="0031387A" w14:paraId="05CA4289" w14:textId="77777777" w:rsidTr="00DD2CF2">
        <w:trPr>
          <w:jc w:val="center"/>
        </w:trPr>
        <w:tc>
          <w:tcPr>
            <w:tcW w:w="1951" w:type="dxa"/>
          </w:tcPr>
          <w:p w14:paraId="288FAFD9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</w:p>
        </w:tc>
        <w:tc>
          <w:tcPr>
            <w:tcW w:w="4356" w:type="dxa"/>
          </w:tcPr>
          <w:p w14:paraId="2B59E263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i/>
                <w:sz w:val="20"/>
                <w:szCs w:val="20"/>
              </w:rPr>
              <w:t xml:space="preserve">Leptodactylus vastus (A. </w:t>
            </w:r>
            <w:r w:rsidRPr="0031387A">
              <w:rPr>
                <w:sz w:val="20"/>
                <w:szCs w:val="20"/>
              </w:rPr>
              <w:t>Lutz 1930)</w:t>
            </w:r>
          </w:p>
        </w:tc>
        <w:tc>
          <w:tcPr>
            <w:tcW w:w="617" w:type="dxa"/>
          </w:tcPr>
          <w:p w14:paraId="324EBF8A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187</w:t>
            </w:r>
          </w:p>
        </w:tc>
        <w:tc>
          <w:tcPr>
            <w:tcW w:w="817" w:type="dxa"/>
          </w:tcPr>
          <w:p w14:paraId="1216E73B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9,32</w:t>
            </w:r>
          </w:p>
        </w:tc>
        <w:tc>
          <w:tcPr>
            <w:tcW w:w="497" w:type="dxa"/>
          </w:tcPr>
          <w:p w14:paraId="13B16A99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510" w:type="dxa"/>
          </w:tcPr>
          <w:p w14:paraId="185330D9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497" w:type="dxa"/>
          </w:tcPr>
          <w:p w14:paraId="4A85B053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</w:tr>
      <w:tr w:rsidR="0064296F" w:rsidRPr="0031387A" w14:paraId="77D3E21E" w14:textId="77777777" w:rsidTr="00DD2CF2">
        <w:trPr>
          <w:jc w:val="center"/>
        </w:trPr>
        <w:tc>
          <w:tcPr>
            <w:tcW w:w="1951" w:type="dxa"/>
          </w:tcPr>
          <w:p w14:paraId="3B674834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</w:p>
        </w:tc>
        <w:tc>
          <w:tcPr>
            <w:tcW w:w="4356" w:type="dxa"/>
          </w:tcPr>
          <w:p w14:paraId="0449C2D8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i/>
                <w:sz w:val="20"/>
                <w:szCs w:val="20"/>
              </w:rPr>
              <w:t xml:space="preserve">Physalaemus albifrons </w:t>
            </w:r>
            <w:r w:rsidRPr="0031387A">
              <w:rPr>
                <w:sz w:val="20"/>
                <w:szCs w:val="20"/>
              </w:rPr>
              <w:t>(Spix, 1824)</w:t>
            </w:r>
          </w:p>
        </w:tc>
        <w:tc>
          <w:tcPr>
            <w:tcW w:w="617" w:type="dxa"/>
          </w:tcPr>
          <w:p w14:paraId="1CC484AE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10</w:t>
            </w:r>
          </w:p>
        </w:tc>
        <w:tc>
          <w:tcPr>
            <w:tcW w:w="817" w:type="dxa"/>
          </w:tcPr>
          <w:p w14:paraId="3A22C122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0,50</w:t>
            </w:r>
          </w:p>
        </w:tc>
        <w:tc>
          <w:tcPr>
            <w:tcW w:w="497" w:type="dxa"/>
          </w:tcPr>
          <w:p w14:paraId="6257F87C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510" w:type="dxa"/>
          </w:tcPr>
          <w:p w14:paraId="63E4A3A8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14:paraId="55675279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</w:tr>
      <w:tr w:rsidR="0064296F" w:rsidRPr="0031387A" w14:paraId="6A38793E" w14:textId="77777777" w:rsidTr="00DD2CF2">
        <w:trPr>
          <w:jc w:val="center"/>
        </w:trPr>
        <w:tc>
          <w:tcPr>
            <w:tcW w:w="1951" w:type="dxa"/>
          </w:tcPr>
          <w:p w14:paraId="169683E6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</w:p>
        </w:tc>
        <w:tc>
          <w:tcPr>
            <w:tcW w:w="4356" w:type="dxa"/>
          </w:tcPr>
          <w:p w14:paraId="274ED0B8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i/>
                <w:sz w:val="20"/>
                <w:szCs w:val="20"/>
              </w:rPr>
              <w:t xml:space="preserve">Physalaemus cicada </w:t>
            </w:r>
            <w:r w:rsidRPr="0031387A">
              <w:rPr>
                <w:sz w:val="20"/>
                <w:szCs w:val="20"/>
              </w:rPr>
              <w:t>(Bokermann, 1966)</w:t>
            </w:r>
          </w:p>
        </w:tc>
        <w:tc>
          <w:tcPr>
            <w:tcW w:w="617" w:type="dxa"/>
          </w:tcPr>
          <w:p w14:paraId="15A9E53C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5</w:t>
            </w:r>
          </w:p>
        </w:tc>
        <w:tc>
          <w:tcPr>
            <w:tcW w:w="817" w:type="dxa"/>
          </w:tcPr>
          <w:p w14:paraId="31CBDFBA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0,25</w:t>
            </w:r>
          </w:p>
        </w:tc>
        <w:tc>
          <w:tcPr>
            <w:tcW w:w="497" w:type="dxa"/>
          </w:tcPr>
          <w:p w14:paraId="7552AD7F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14:paraId="7FD6D38C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497" w:type="dxa"/>
          </w:tcPr>
          <w:p w14:paraId="6F7EB025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</w:tr>
      <w:tr w:rsidR="0064296F" w:rsidRPr="0031387A" w14:paraId="1C6CEEBD" w14:textId="77777777" w:rsidTr="00DD2CF2">
        <w:trPr>
          <w:jc w:val="center"/>
        </w:trPr>
        <w:tc>
          <w:tcPr>
            <w:tcW w:w="1951" w:type="dxa"/>
          </w:tcPr>
          <w:p w14:paraId="13903ED4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</w:p>
        </w:tc>
        <w:tc>
          <w:tcPr>
            <w:tcW w:w="4356" w:type="dxa"/>
          </w:tcPr>
          <w:p w14:paraId="1FC715CC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i/>
                <w:sz w:val="20"/>
                <w:szCs w:val="20"/>
              </w:rPr>
              <w:t xml:space="preserve">Physalaemus cuvieri </w:t>
            </w:r>
            <w:r w:rsidRPr="0031387A">
              <w:rPr>
                <w:sz w:val="20"/>
                <w:szCs w:val="20"/>
              </w:rPr>
              <w:t>(Fitzinger, 1826)</w:t>
            </w:r>
          </w:p>
        </w:tc>
        <w:tc>
          <w:tcPr>
            <w:tcW w:w="617" w:type="dxa"/>
          </w:tcPr>
          <w:p w14:paraId="339BF13A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</w:tcPr>
          <w:p w14:paraId="008207CE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0,20</w:t>
            </w:r>
          </w:p>
        </w:tc>
        <w:tc>
          <w:tcPr>
            <w:tcW w:w="497" w:type="dxa"/>
          </w:tcPr>
          <w:p w14:paraId="17721320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14:paraId="0E546954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14:paraId="57596B0E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</w:tr>
      <w:tr w:rsidR="0064296F" w:rsidRPr="0031387A" w14:paraId="7FFF1147" w14:textId="77777777" w:rsidTr="00DD2CF2">
        <w:trPr>
          <w:jc w:val="center"/>
        </w:trPr>
        <w:tc>
          <w:tcPr>
            <w:tcW w:w="1951" w:type="dxa"/>
          </w:tcPr>
          <w:p w14:paraId="1A0F8102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</w:p>
        </w:tc>
        <w:tc>
          <w:tcPr>
            <w:tcW w:w="4356" w:type="dxa"/>
          </w:tcPr>
          <w:p w14:paraId="5FD4F3FB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i/>
                <w:sz w:val="20"/>
                <w:szCs w:val="20"/>
              </w:rPr>
              <w:t xml:space="preserve">Pleurodema diplolister </w:t>
            </w:r>
            <w:r w:rsidRPr="0031387A">
              <w:rPr>
                <w:sz w:val="20"/>
                <w:szCs w:val="20"/>
              </w:rPr>
              <w:t>(Peters, 1870)</w:t>
            </w:r>
          </w:p>
        </w:tc>
        <w:tc>
          <w:tcPr>
            <w:tcW w:w="617" w:type="dxa"/>
          </w:tcPr>
          <w:p w14:paraId="07A0BE40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31</w:t>
            </w:r>
          </w:p>
        </w:tc>
        <w:tc>
          <w:tcPr>
            <w:tcW w:w="817" w:type="dxa"/>
          </w:tcPr>
          <w:p w14:paraId="3CAF5D77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1,54</w:t>
            </w:r>
          </w:p>
        </w:tc>
        <w:tc>
          <w:tcPr>
            <w:tcW w:w="497" w:type="dxa"/>
          </w:tcPr>
          <w:p w14:paraId="2EA16B42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510" w:type="dxa"/>
          </w:tcPr>
          <w:p w14:paraId="019C9254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14:paraId="6EA661B3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</w:tr>
      <w:tr w:rsidR="0064296F" w:rsidRPr="0031387A" w14:paraId="7E56E035" w14:textId="77777777" w:rsidTr="00DD2CF2">
        <w:trPr>
          <w:jc w:val="center"/>
        </w:trPr>
        <w:tc>
          <w:tcPr>
            <w:tcW w:w="1951" w:type="dxa"/>
          </w:tcPr>
          <w:p w14:paraId="7746C2E8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</w:p>
        </w:tc>
        <w:tc>
          <w:tcPr>
            <w:tcW w:w="4356" w:type="dxa"/>
          </w:tcPr>
          <w:p w14:paraId="70B030B2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i/>
                <w:sz w:val="20"/>
                <w:szCs w:val="20"/>
              </w:rPr>
              <w:t xml:space="preserve">Pseudopaludicola pocoto </w:t>
            </w:r>
            <w:r w:rsidRPr="0031387A">
              <w:rPr>
                <w:sz w:val="20"/>
                <w:szCs w:val="20"/>
              </w:rPr>
              <w:t>Magalhães, Loebmann, Kokubum, Haddad e Garcia, 2014</w:t>
            </w:r>
          </w:p>
        </w:tc>
        <w:tc>
          <w:tcPr>
            <w:tcW w:w="617" w:type="dxa"/>
          </w:tcPr>
          <w:p w14:paraId="32490497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320</w:t>
            </w:r>
          </w:p>
        </w:tc>
        <w:tc>
          <w:tcPr>
            <w:tcW w:w="817" w:type="dxa"/>
          </w:tcPr>
          <w:p w14:paraId="3641EC4C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15,95</w:t>
            </w:r>
          </w:p>
        </w:tc>
        <w:tc>
          <w:tcPr>
            <w:tcW w:w="497" w:type="dxa"/>
          </w:tcPr>
          <w:p w14:paraId="1A12F87A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510" w:type="dxa"/>
          </w:tcPr>
          <w:p w14:paraId="64D32421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497" w:type="dxa"/>
          </w:tcPr>
          <w:p w14:paraId="131DEE97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</w:tr>
      <w:tr w:rsidR="0064296F" w:rsidRPr="0031387A" w14:paraId="74888767" w14:textId="77777777" w:rsidTr="00DD2CF2">
        <w:trPr>
          <w:jc w:val="center"/>
        </w:trPr>
        <w:tc>
          <w:tcPr>
            <w:tcW w:w="1951" w:type="dxa"/>
          </w:tcPr>
          <w:p w14:paraId="65E44AC9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sz w:val="20"/>
                <w:szCs w:val="20"/>
              </w:rPr>
              <w:t>Microhylidae</w:t>
            </w:r>
          </w:p>
        </w:tc>
        <w:tc>
          <w:tcPr>
            <w:tcW w:w="4356" w:type="dxa"/>
          </w:tcPr>
          <w:p w14:paraId="0215F2D7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i/>
                <w:sz w:val="20"/>
                <w:szCs w:val="20"/>
              </w:rPr>
              <w:t xml:space="preserve">Dermatonotus muelleri </w:t>
            </w:r>
            <w:r w:rsidRPr="0031387A">
              <w:rPr>
                <w:sz w:val="20"/>
                <w:szCs w:val="20"/>
              </w:rPr>
              <w:t>(Boettger, 1885)</w:t>
            </w:r>
          </w:p>
        </w:tc>
        <w:tc>
          <w:tcPr>
            <w:tcW w:w="617" w:type="dxa"/>
          </w:tcPr>
          <w:p w14:paraId="1F11D236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</w:tcPr>
          <w:p w14:paraId="09BA2CA0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0,10</w:t>
            </w:r>
          </w:p>
        </w:tc>
        <w:tc>
          <w:tcPr>
            <w:tcW w:w="497" w:type="dxa"/>
          </w:tcPr>
          <w:p w14:paraId="464EB9C9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510" w:type="dxa"/>
          </w:tcPr>
          <w:p w14:paraId="553A2EAF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14:paraId="341DC12C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0</w:t>
            </w:r>
          </w:p>
        </w:tc>
      </w:tr>
      <w:tr w:rsidR="0064296F" w:rsidRPr="0031387A" w14:paraId="33F1814B" w14:textId="77777777" w:rsidTr="00DD2CF2">
        <w:trPr>
          <w:jc w:val="center"/>
        </w:trPr>
        <w:tc>
          <w:tcPr>
            <w:tcW w:w="1951" w:type="dxa"/>
          </w:tcPr>
          <w:p w14:paraId="34BF7321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sz w:val="20"/>
                <w:szCs w:val="20"/>
              </w:rPr>
              <w:t>Odontophrynidae</w:t>
            </w:r>
          </w:p>
        </w:tc>
        <w:tc>
          <w:tcPr>
            <w:tcW w:w="4356" w:type="dxa"/>
          </w:tcPr>
          <w:p w14:paraId="2FB08471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i/>
                <w:sz w:val="20"/>
                <w:szCs w:val="20"/>
              </w:rPr>
              <w:t xml:space="preserve">Proceratophrys cristiceps </w:t>
            </w:r>
            <w:r w:rsidRPr="0031387A">
              <w:rPr>
                <w:sz w:val="20"/>
                <w:szCs w:val="20"/>
              </w:rPr>
              <w:t>(Muller, 1884)</w:t>
            </w:r>
          </w:p>
        </w:tc>
        <w:tc>
          <w:tcPr>
            <w:tcW w:w="617" w:type="dxa"/>
          </w:tcPr>
          <w:p w14:paraId="21D5B985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59</w:t>
            </w:r>
          </w:p>
        </w:tc>
        <w:tc>
          <w:tcPr>
            <w:tcW w:w="817" w:type="dxa"/>
          </w:tcPr>
          <w:p w14:paraId="1F3AEE52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2,94</w:t>
            </w:r>
          </w:p>
        </w:tc>
        <w:tc>
          <w:tcPr>
            <w:tcW w:w="497" w:type="dxa"/>
          </w:tcPr>
          <w:p w14:paraId="32D592D0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510" w:type="dxa"/>
          </w:tcPr>
          <w:p w14:paraId="466DF2EE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497" w:type="dxa"/>
          </w:tcPr>
          <w:p w14:paraId="030D653D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</w:tr>
      <w:tr w:rsidR="0064296F" w:rsidRPr="0031387A" w14:paraId="6838B22A" w14:textId="77777777" w:rsidTr="00DD2CF2">
        <w:trPr>
          <w:jc w:val="center"/>
        </w:trPr>
        <w:tc>
          <w:tcPr>
            <w:tcW w:w="1951" w:type="dxa"/>
          </w:tcPr>
          <w:p w14:paraId="52F9F390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sz w:val="20"/>
                <w:szCs w:val="20"/>
              </w:rPr>
              <w:t>Pipidae</w:t>
            </w:r>
          </w:p>
        </w:tc>
        <w:tc>
          <w:tcPr>
            <w:tcW w:w="4356" w:type="dxa"/>
          </w:tcPr>
          <w:p w14:paraId="5A01B992" w14:textId="77777777" w:rsidR="0064296F" w:rsidRPr="0031387A" w:rsidRDefault="0064296F" w:rsidP="0031387A">
            <w:pPr>
              <w:spacing w:line="240" w:lineRule="auto"/>
              <w:jc w:val="both"/>
              <w:rPr>
                <w:sz w:val="20"/>
                <w:szCs w:val="20"/>
                <w:lang w:val="pt-BR"/>
              </w:rPr>
            </w:pPr>
            <w:r w:rsidRPr="0031387A">
              <w:rPr>
                <w:i/>
                <w:sz w:val="20"/>
                <w:szCs w:val="20"/>
              </w:rPr>
              <w:t xml:space="preserve">Pipa carvalhoi </w:t>
            </w:r>
            <w:r w:rsidRPr="0031387A">
              <w:rPr>
                <w:sz w:val="20"/>
                <w:szCs w:val="20"/>
              </w:rPr>
              <w:t>(Miranda-Ribeiro, 1937)</w:t>
            </w:r>
          </w:p>
        </w:tc>
        <w:tc>
          <w:tcPr>
            <w:tcW w:w="617" w:type="dxa"/>
          </w:tcPr>
          <w:p w14:paraId="0F390336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</w:tcPr>
          <w:p w14:paraId="193CFB0C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0,30</w:t>
            </w:r>
          </w:p>
        </w:tc>
        <w:tc>
          <w:tcPr>
            <w:tcW w:w="497" w:type="dxa"/>
          </w:tcPr>
          <w:p w14:paraId="5377B953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510" w:type="dxa"/>
          </w:tcPr>
          <w:p w14:paraId="330D874F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X</w:t>
            </w:r>
          </w:p>
        </w:tc>
        <w:tc>
          <w:tcPr>
            <w:tcW w:w="497" w:type="dxa"/>
          </w:tcPr>
          <w:p w14:paraId="290CB998" w14:textId="77777777" w:rsidR="0064296F" w:rsidRPr="0031387A" w:rsidRDefault="0064296F" w:rsidP="003138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1387A">
              <w:rPr>
                <w:sz w:val="20"/>
                <w:szCs w:val="20"/>
              </w:rPr>
              <w:t>0</w:t>
            </w:r>
          </w:p>
        </w:tc>
      </w:tr>
    </w:tbl>
    <w:p w14:paraId="6217ED11" w14:textId="77777777" w:rsidR="00CD5704" w:rsidRDefault="00CD5704" w:rsidP="00CD5704">
      <w:pPr>
        <w:spacing w:line="240" w:lineRule="auto"/>
        <w:jc w:val="both"/>
        <w:rPr>
          <w:sz w:val="20"/>
          <w:szCs w:val="20"/>
          <w:lang w:val="pt-BR"/>
        </w:rPr>
      </w:pPr>
    </w:p>
    <w:p w14:paraId="4AEE9006" w14:textId="77777777" w:rsidR="00864D83" w:rsidRDefault="00233B7B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A abundância das espécies também diferiu nos três ambientes, na área T3 (1373 indivíduos), T1 (334) e T2 (299). As maiores riqueza e abundância foram registradas para a família Leptodactylidae, com 9 espécies 65% dos indivíduos avistados. A espécie </w:t>
      </w:r>
      <w:proofErr w:type="spellStart"/>
      <w:r>
        <w:rPr>
          <w:i/>
          <w:iCs/>
          <w:sz w:val="20"/>
          <w:szCs w:val="20"/>
          <w:lang w:val="pt-BR"/>
        </w:rPr>
        <w:t>Leptodactylus</w:t>
      </w:r>
      <w:proofErr w:type="spellEnd"/>
      <w:r>
        <w:rPr>
          <w:i/>
          <w:iCs/>
          <w:sz w:val="20"/>
          <w:szCs w:val="20"/>
          <w:lang w:val="pt-BR"/>
        </w:rPr>
        <w:t xml:space="preserve"> </w:t>
      </w:r>
      <w:proofErr w:type="spellStart"/>
      <w:r>
        <w:rPr>
          <w:i/>
          <w:iCs/>
          <w:sz w:val="20"/>
          <w:szCs w:val="20"/>
          <w:lang w:val="pt-BR"/>
        </w:rPr>
        <w:t>macrosternum</w:t>
      </w:r>
      <w:proofErr w:type="spellEnd"/>
      <w:r>
        <w:rPr>
          <w:sz w:val="20"/>
          <w:szCs w:val="20"/>
          <w:lang w:val="pt-BR"/>
        </w:rPr>
        <w:t xml:space="preserve"> apresentou grande abundância (n= 854) em relação às demais, contudo, ela foi registrada majoritariamente apenas na área T3.</w:t>
      </w:r>
    </w:p>
    <w:p w14:paraId="3D1810C5" w14:textId="77777777" w:rsidR="00864D83" w:rsidRDefault="00233B7B">
      <w:pPr>
        <w:pStyle w:val="Corpodetexto"/>
        <w:ind w:firstLine="708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A análise de agrupamento, baseada em 81 espécies de anfíbios de 18 diferentes localidades resultou na formação de um agrupamento com maior similaridade, no qual a RPPN Verdes Pastos está inclusa (Catolé do Rocha/PB, Jaguaribe/CE e Estação Ecológica do Seridó/RN), sendo esta última a que apresentou maior proximidade com relação à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anurofauna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do presente trabalho.</w:t>
      </w:r>
    </w:p>
    <w:p w14:paraId="5F482032" w14:textId="77777777" w:rsidR="00864D83" w:rsidRDefault="00864D83">
      <w:pPr>
        <w:spacing w:line="240" w:lineRule="auto"/>
        <w:rPr>
          <w:sz w:val="20"/>
          <w:szCs w:val="20"/>
          <w:lang w:val="pt-BR"/>
        </w:rPr>
      </w:pPr>
    </w:p>
    <w:p w14:paraId="6D07F4B4" w14:textId="77777777" w:rsidR="00864D83" w:rsidRDefault="00233B7B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654395B9" w14:textId="77777777" w:rsidR="00864D83" w:rsidRDefault="00233B7B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Diante do exposto, p</w:t>
      </w:r>
      <w:r>
        <w:rPr>
          <w:sz w:val="20"/>
          <w:szCs w:val="20"/>
        </w:rPr>
        <w:t xml:space="preserve">odemos concluir que a área </w:t>
      </w:r>
      <w:r>
        <w:rPr>
          <w:sz w:val="20"/>
          <w:szCs w:val="20"/>
          <w:lang w:val="pt-BR"/>
        </w:rPr>
        <w:t>analisada apresenta</w:t>
      </w:r>
      <w:r>
        <w:rPr>
          <w:sz w:val="20"/>
          <w:szCs w:val="20"/>
        </w:rPr>
        <w:t xml:space="preserve"> bom estado de conservação, </w:t>
      </w:r>
      <w:r>
        <w:rPr>
          <w:sz w:val="20"/>
          <w:szCs w:val="20"/>
          <w:lang w:val="pt-BR"/>
        </w:rPr>
        <w:t xml:space="preserve">contribuindo </w:t>
      </w:r>
      <w:r>
        <w:rPr>
          <w:sz w:val="20"/>
          <w:szCs w:val="20"/>
        </w:rPr>
        <w:t xml:space="preserve">para a diversidade de espécies de anfíbios </w:t>
      </w:r>
      <w:r>
        <w:rPr>
          <w:sz w:val="20"/>
          <w:szCs w:val="20"/>
          <w:lang w:val="pt-BR"/>
        </w:rPr>
        <w:t>encontradas</w:t>
      </w:r>
      <w:r>
        <w:rPr>
          <w:sz w:val="20"/>
          <w:szCs w:val="20"/>
        </w:rPr>
        <w:t xml:space="preserve">. Foi possível observar que a RPPN Verdes Pastos </w:t>
      </w:r>
      <w:r>
        <w:rPr>
          <w:sz w:val="20"/>
          <w:szCs w:val="20"/>
          <w:lang w:val="pt-BR"/>
        </w:rPr>
        <w:t xml:space="preserve">é utilizada como abrigo por </w:t>
      </w:r>
      <w:r>
        <w:rPr>
          <w:sz w:val="20"/>
          <w:szCs w:val="20"/>
        </w:rPr>
        <w:t>diversos organismos</w:t>
      </w:r>
      <w:r>
        <w:rPr>
          <w:sz w:val="20"/>
          <w:szCs w:val="20"/>
          <w:lang w:val="pt-BR"/>
        </w:rPr>
        <w:t xml:space="preserve"> e como</w:t>
      </w:r>
      <w:r>
        <w:rPr>
          <w:sz w:val="20"/>
          <w:szCs w:val="20"/>
        </w:rPr>
        <w:t xml:space="preserve"> refúgio para animais d</w:t>
      </w:r>
      <w:r>
        <w:rPr>
          <w:sz w:val="20"/>
          <w:szCs w:val="20"/>
          <w:lang w:val="pt-BR"/>
        </w:rPr>
        <w:t>e</w:t>
      </w:r>
      <w:r>
        <w:rPr>
          <w:sz w:val="20"/>
          <w:szCs w:val="20"/>
        </w:rPr>
        <w:t xml:space="preserve"> regiões próximas. </w:t>
      </w:r>
      <w:r>
        <w:rPr>
          <w:sz w:val="20"/>
          <w:szCs w:val="20"/>
          <w:lang w:val="pt-BR"/>
        </w:rPr>
        <w:t>Como resultado</w:t>
      </w:r>
      <w:r>
        <w:rPr>
          <w:sz w:val="20"/>
          <w:szCs w:val="20"/>
        </w:rPr>
        <w:t>, o presente trabalho fornece informações importantes acerca dos anuros de uma área d</w:t>
      </w:r>
      <w:r>
        <w:rPr>
          <w:sz w:val="20"/>
          <w:szCs w:val="20"/>
          <w:lang w:val="pt-BR"/>
        </w:rPr>
        <w:t>as áreas d</w:t>
      </w:r>
      <w:r>
        <w:rPr>
          <w:sz w:val="20"/>
          <w:szCs w:val="20"/>
        </w:rPr>
        <w:t xml:space="preserve">e Caatinga bem preservada, </w:t>
      </w:r>
      <w:r>
        <w:rPr>
          <w:sz w:val="20"/>
          <w:szCs w:val="20"/>
          <w:lang w:val="pt-BR"/>
        </w:rPr>
        <w:t xml:space="preserve">sendo possível ser utilizado como subsidio para possíveis </w:t>
      </w:r>
      <w:r>
        <w:rPr>
          <w:sz w:val="20"/>
          <w:szCs w:val="20"/>
        </w:rPr>
        <w:t xml:space="preserve">estratégias de conservação de áreas nesse bioma </w:t>
      </w:r>
      <w:r>
        <w:rPr>
          <w:sz w:val="20"/>
          <w:szCs w:val="20"/>
          <w:lang w:val="pt-BR"/>
        </w:rPr>
        <w:t>e</w:t>
      </w:r>
      <w:r>
        <w:rPr>
          <w:sz w:val="20"/>
          <w:szCs w:val="20"/>
        </w:rPr>
        <w:t xml:space="preserve"> auxiliar pesquisas futuras sobre possíveis áreas prioritárias de conservação na Caatinga.</w:t>
      </w:r>
    </w:p>
    <w:p w14:paraId="6CD3CF9E" w14:textId="77777777" w:rsidR="00864D83" w:rsidRDefault="00864D83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14D0D271" w14:textId="77777777" w:rsidR="00864D83" w:rsidRDefault="00233B7B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14:paraId="2A25FE36" w14:textId="77777777" w:rsidR="00864D83" w:rsidRDefault="00233B7B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</w:rPr>
        <w:t>Caldas, F.L.S.; Costa, T.B.; Laranjeiras, D.O.; Mesquita, D.O.</w:t>
      </w:r>
      <w:r>
        <w:rPr>
          <w:rFonts w:eastAsia="Times New Roman"/>
          <w:sz w:val="20"/>
          <w:szCs w:val="20"/>
          <w:lang w:val="pt-BR"/>
        </w:rPr>
        <w:t xml:space="preserve"> &amp; A.A.</w:t>
      </w:r>
      <w:r>
        <w:rPr>
          <w:rFonts w:eastAsia="Times New Roman"/>
          <w:sz w:val="20"/>
          <w:szCs w:val="20"/>
        </w:rPr>
        <w:t xml:space="preserve"> Garda.</w:t>
      </w:r>
      <w:r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en-US"/>
        </w:rPr>
        <w:t>2016.</w:t>
      </w:r>
      <w:r>
        <w:rPr>
          <w:rFonts w:eastAsia="Times New Roman"/>
          <w:sz w:val="20"/>
          <w:szCs w:val="20"/>
        </w:rPr>
        <w:t xml:space="preserve"> Herpetofauna of protected areas in the Caatinga V: Seridó Ecological Station (Rio Grande do Norte, Brazil). Check list, 12</w:t>
      </w:r>
      <w:r>
        <w:rPr>
          <w:rFonts w:eastAsia="Times New Roman"/>
          <w:sz w:val="20"/>
          <w:szCs w:val="20"/>
          <w:lang w:val="en-US"/>
        </w:rPr>
        <w:t xml:space="preserve"> (</w:t>
      </w:r>
      <w:r>
        <w:rPr>
          <w:rFonts w:eastAsia="Times New Roman"/>
          <w:sz w:val="20"/>
          <w:szCs w:val="20"/>
        </w:rPr>
        <w:t>4</w:t>
      </w:r>
      <w:r>
        <w:rPr>
          <w:rFonts w:eastAsia="Times New Roman"/>
          <w:sz w:val="20"/>
          <w:szCs w:val="20"/>
          <w:lang w:val="en-US"/>
        </w:rPr>
        <w:t>):</w:t>
      </w:r>
      <w:r>
        <w:rPr>
          <w:rFonts w:eastAsia="Times New Roman"/>
          <w:sz w:val="20"/>
          <w:szCs w:val="20"/>
        </w:rPr>
        <w:t xml:space="preserve"> 1-14</w:t>
      </w:r>
      <w:r>
        <w:rPr>
          <w:rFonts w:eastAsia="Times New Roman"/>
          <w:sz w:val="20"/>
          <w:szCs w:val="20"/>
          <w:lang w:val="en-US"/>
        </w:rPr>
        <w:t>.</w:t>
      </w:r>
    </w:p>
    <w:p w14:paraId="0E962A32" w14:textId="77777777" w:rsidR="00864D83" w:rsidRDefault="00233B7B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>Colwell, R.K. &amp; J.A. Coddington. 1994. Estimating Terrestrial Biodiversity through Extrapolation. Philosophical Transactions of the Royal Society B: Biological Sciences, 345 (1311): 101-118.</w:t>
      </w:r>
    </w:p>
    <w:p w14:paraId="31DD8C11" w14:textId="77777777" w:rsidR="00864D83" w:rsidRDefault="00233B7B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85299A">
        <w:rPr>
          <w:rFonts w:eastAsia="Times New Roman"/>
          <w:sz w:val="20"/>
          <w:szCs w:val="20"/>
          <w:lang w:val="pt-BR"/>
        </w:rPr>
        <w:t xml:space="preserve">Freire, N.C.F.; Moura, D.C.; Da Silva, J.B. &amp; A.P. Pacheco. </w:t>
      </w:r>
      <w:r>
        <w:rPr>
          <w:rFonts w:eastAsia="Times New Roman"/>
          <w:sz w:val="20"/>
          <w:szCs w:val="20"/>
          <w:lang w:val="pt-BR"/>
        </w:rPr>
        <w:t>2020. Mapeamento e análise espectro-temporal das unidades de conservação de proteção integral da administração federal no bioma caatinga</w:t>
      </w:r>
      <w:r>
        <w:rPr>
          <w:color w:val="222222"/>
          <w:sz w:val="20"/>
          <w:szCs w:val="20"/>
          <w:shd w:val="clear" w:color="auto" w:fill="FFFFFF"/>
          <w:lang w:val="pt-BR"/>
        </w:rPr>
        <w:t>.</w:t>
      </w:r>
      <w:r>
        <w:rPr>
          <w:color w:val="222222"/>
          <w:sz w:val="20"/>
          <w:szCs w:val="20"/>
          <w:shd w:val="clear" w:color="auto" w:fill="FFFFFF"/>
        </w:rPr>
        <w:t> </w:t>
      </w:r>
      <w:r>
        <w:rPr>
          <w:bCs/>
          <w:color w:val="222222"/>
          <w:sz w:val="20"/>
          <w:szCs w:val="20"/>
          <w:shd w:val="clear" w:color="auto" w:fill="FFFFFF"/>
        </w:rPr>
        <w:t>Brazilian Journal of Development</w:t>
      </w:r>
      <w:r>
        <w:rPr>
          <w:rFonts w:eastAsia="Times New Roman"/>
          <w:sz w:val="20"/>
          <w:szCs w:val="20"/>
          <w:lang w:val="en-US"/>
        </w:rPr>
        <w:t>, 6 (5): 24773-24781.</w:t>
      </w:r>
    </w:p>
    <w:p w14:paraId="1B534218" w14:textId="77777777" w:rsidR="00864D83" w:rsidRDefault="00233B7B">
      <w:pPr>
        <w:tabs>
          <w:tab w:val="left" w:pos="709"/>
        </w:tabs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en-US"/>
        </w:rPr>
        <w:t xml:space="preserve">GALVÍNCIO, J.D. &amp; J.G. Ribeiro. </w:t>
      </w:r>
      <w:r>
        <w:rPr>
          <w:rFonts w:eastAsia="Times New Roman"/>
          <w:sz w:val="20"/>
          <w:szCs w:val="20"/>
          <w:lang w:val="pt-BR"/>
        </w:rPr>
        <w:t xml:space="preserve">2005. Precipitação média anual e a captação de água de chuva no estado da paraíba. In: 5º Simpósio Brasileiro de captação e manejo de água de chuva. </w:t>
      </w:r>
      <w:proofErr w:type="spellStart"/>
      <w:r>
        <w:rPr>
          <w:rFonts w:eastAsia="Times New Roman"/>
          <w:sz w:val="20"/>
          <w:szCs w:val="20"/>
          <w:lang w:val="pt-BR"/>
        </w:rPr>
        <w:t>Terezina</w:t>
      </w:r>
      <w:proofErr w:type="spellEnd"/>
      <w:r>
        <w:rPr>
          <w:rFonts w:eastAsia="Times New Roman"/>
          <w:sz w:val="20"/>
          <w:szCs w:val="20"/>
          <w:lang w:val="pt-BR"/>
        </w:rPr>
        <w:t>.</w:t>
      </w:r>
    </w:p>
    <w:p w14:paraId="641B44FE" w14:textId="77777777" w:rsidR="00864D83" w:rsidRDefault="00233B7B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proofErr w:type="spellStart"/>
      <w:r>
        <w:rPr>
          <w:rFonts w:eastAsia="Times New Roman"/>
          <w:sz w:val="20"/>
          <w:szCs w:val="20"/>
          <w:lang w:val="pt-BR"/>
        </w:rPr>
        <w:t>Garda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A.A.; Stein, M.S.; Machado, R.B.; Lion, M.L.; </w:t>
      </w:r>
      <w:proofErr w:type="spellStart"/>
      <w:r>
        <w:rPr>
          <w:rFonts w:eastAsia="Times New Roman"/>
          <w:sz w:val="20"/>
          <w:szCs w:val="20"/>
          <w:lang w:val="pt-BR"/>
        </w:rPr>
        <w:t>Juncá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F.A. &amp; M.F. Napoli. </w:t>
      </w:r>
      <w:r>
        <w:rPr>
          <w:rFonts w:eastAsia="Times New Roman"/>
          <w:sz w:val="20"/>
          <w:szCs w:val="20"/>
          <w:lang w:val="en-US"/>
        </w:rPr>
        <w:t xml:space="preserve">2017. Ecology, Biogeography, </w:t>
      </w:r>
      <w:proofErr w:type="gramStart"/>
      <w:r>
        <w:rPr>
          <w:rFonts w:eastAsia="Times New Roman"/>
          <w:sz w:val="20"/>
          <w:szCs w:val="20"/>
          <w:lang w:val="en-US"/>
        </w:rPr>
        <w:t>And</w:t>
      </w:r>
      <w:proofErr w:type="gramEnd"/>
      <w:r>
        <w:rPr>
          <w:rFonts w:eastAsia="Times New Roman"/>
          <w:sz w:val="20"/>
          <w:szCs w:val="20"/>
          <w:lang w:val="en-US"/>
        </w:rPr>
        <w:t xml:space="preserve"> Conservation Of Amphibians Of The Caatinga, p. 133-149. In: J. M. C. Da Silva (eds.). Caatinga. Springer International Publishing, 149p.</w:t>
      </w:r>
    </w:p>
    <w:p w14:paraId="0532BFE9" w14:textId="77777777" w:rsidR="00864D83" w:rsidRDefault="00233B7B">
      <w:pPr>
        <w:tabs>
          <w:tab w:val="left" w:pos="567"/>
        </w:tabs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proofErr w:type="spellStart"/>
      <w:r>
        <w:rPr>
          <w:rFonts w:eastAsia="Times New Roman"/>
          <w:sz w:val="20"/>
          <w:szCs w:val="20"/>
          <w:lang w:val="en-US"/>
        </w:rPr>
        <w:t>Guedes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, T.B.; </w:t>
      </w:r>
      <w:proofErr w:type="spellStart"/>
      <w:r>
        <w:rPr>
          <w:rFonts w:eastAsia="Times New Roman"/>
          <w:sz w:val="20"/>
          <w:szCs w:val="20"/>
          <w:lang w:val="en-US"/>
        </w:rPr>
        <w:t>Sawaya</w:t>
      </w:r>
      <w:proofErr w:type="spellEnd"/>
      <w:r>
        <w:rPr>
          <w:rFonts w:eastAsia="Times New Roman"/>
          <w:sz w:val="20"/>
          <w:szCs w:val="20"/>
          <w:lang w:val="en-US"/>
        </w:rPr>
        <w:t>, R.J. &amp; C.C. Nogueira. 2014. Biogeography, vicariance and conservation of snakes of the neglected and endangered Caatinga region, north-eastern Brazil. Journal of Biogeography, 41 (5): 919-931.</w:t>
      </w:r>
    </w:p>
    <w:p w14:paraId="06F8F5E3" w14:textId="77777777" w:rsidR="00864D83" w:rsidRDefault="00233B7B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proofErr w:type="spellStart"/>
      <w:r>
        <w:rPr>
          <w:rFonts w:eastAsia="Times New Roman"/>
          <w:sz w:val="20"/>
          <w:szCs w:val="20"/>
          <w:lang w:val="en-US"/>
        </w:rPr>
        <w:t>Heyer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, W.R.; Rand, A.S.; Cruz, C.A.G.; Peixoto, O.L. &amp; C.E. Nelson. </w:t>
      </w:r>
      <w:r>
        <w:rPr>
          <w:rFonts w:eastAsia="Times New Roman"/>
          <w:sz w:val="20"/>
          <w:szCs w:val="20"/>
          <w:lang w:val="pt-BR"/>
        </w:rPr>
        <w:t xml:space="preserve">1990. </w:t>
      </w:r>
      <w:proofErr w:type="spellStart"/>
      <w:r>
        <w:rPr>
          <w:rFonts w:eastAsia="Times New Roman"/>
          <w:sz w:val="20"/>
          <w:szCs w:val="20"/>
          <w:lang w:val="pt-BR"/>
        </w:rPr>
        <w:t>Frogs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pt-BR"/>
        </w:rPr>
        <w:t>of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Boracéia. Arquivos de Zoologia, São Paulo, 31 (4): 231-410.</w:t>
      </w:r>
    </w:p>
    <w:p w14:paraId="17FDA756" w14:textId="77777777" w:rsidR="00864D83" w:rsidRDefault="00233B7B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Leal, I.R.; </w:t>
      </w:r>
      <w:proofErr w:type="spellStart"/>
      <w:r>
        <w:rPr>
          <w:rFonts w:eastAsia="Times New Roman"/>
          <w:sz w:val="20"/>
          <w:szCs w:val="20"/>
          <w:lang w:val="pt-BR"/>
        </w:rPr>
        <w:t>Tabarelli</w:t>
      </w:r>
      <w:proofErr w:type="spellEnd"/>
      <w:r>
        <w:rPr>
          <w:rFonts w:eastAsia="Times New Roman"/>
          <w:sz w:val="20"/>
          <w:szCs w:val="20"/>
          <w:lang w:val="pt-BR"/>
        </w:rPr>
        <w:t>, M. &amp; J.M. Silva. 2003. Ecologia e Conservação da Caatinga. 2ª ed. Recife: Editora Universitária da UFPE, 2003. 822 p.</w:t>
      </w:r>
    </w:p>
    <w:p w14:paraId="7909459C" w14:textId="77777777" w:rsidR="00864D83" w:rsidRDefault="00233B7B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</w:rPr>
        <w:t>Oliveira, J.C.D.; Oliveira, J.F.; Costa, D.F.S.; Santana, D.J.; Silva, S.K.</w:t>
      </w:r>
      <w:r>
        <w:rPr>
          <w:rFonts w:eastAsia="Times New Roman"/>
          <w:sz w:val="20"/>
          <w:szCs w:val="20"/>
          <w:lang w:val="pt-BR"/>
        </w:rPr>
        <w:t xml:space="preserve"> &amp;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M.F. </w:t>
      </w:r>
      <w:r>
        <w:rPr>
          <w:rFonts w:eastAsia="Times New Roman"/>
          <w:sz w:val="20"/>
          <w:szCs w:val="20"/>
        </w:rPr>
        <w:t>Chaves.</w:t>
      </w:r>
      <w:r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en-US"/>
        </w:rPr>
        <w:t>2018.</w:t>
      </w:r>
      <w:r>
        <w:rPr>
          <w:rFonts w:eastAsia="Times New Roman"/>
          <w:sz w:val="20"/>
          <w:szCs w:val="20"/>
        </w:rPr>
        <w:t xml:space="preserve"> Anuran composition in a Brazilian semi-arid environment with notes on reproductive activity. Neotropical Biology and Conservation, 13</w:t>
      </w:r>
      <w:r>
        <w:rPr>
          <w:rFonts w:eastAsia="Times New Roman"/>
          <w:sz w:val="20"/>
          <w:szCs w:val="20"/>
          <w:lang w:val="en-US"/>
        </w:rPr>
        <w:t xml:space="preserve"> (</w:t>
      </w:r>
      <w:r>
        <w:rPr>
          <w:rFonts w:eastAsia="Times New Roman"/>
          <w:sz w:val="20"/>
          <w:szCs w:val="20"/>
        </w:rPr>
        <w:t>1</w:t>
      </w:r>
      <w:r>
        <w:rPr>
          <w:rFonts w:eastAsia="Times New Roman"/>
          <w:sz w:val="20"/>
          <w:szCs w:val="20"/>
          <w:lang w:val="en-US"/>
        </w:rPr>
        <w:t>):</w:t>
      </w:r>
      <w:r>
        <w:rPr>
          <w:rFonts w:eastAsia="Times New Roman"/>
          <w:sz w:val="20"/>
          <w:szCs w:val="20"/>
        </w:rPr>
        <w:t xml:space="preserve"> 53-61. </w:t>
      </w:r>
    </w:p>
    <w:p w14:paraId="73C07ACA" w14:textId="77777777" w:rsidR="00864D83" w:rsidRDefault="00233B7B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en-US"/>
        </w:rPr>
        <w:t xml:space="preserve">Roberto, I.J. &amp; D. </w:t>
      </w:r>
      <w:proofErr w:type="spellStart"/>
      <w:r>
        <w:rPr>
          <w:rFonts w:eastAsia="Times New Roman"/>
          <w:sz w:val="20"/>
          <w:szCs w:val="20"/>
          <w:lang w:val="en-US"/>
        </w:rPr>
        <w:t>Loebmann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. Composition, distribution patterns, and conservation priority areas for the herpetofauna of the state of </w:t>
      </w:r>
      <w:proofErr w:type="spellStart"/>
      <w:r>
        <w:rPr>
          <w:rFonts w:eastAsia="Times New Roman"/>
          <w:sz w:val="20"/>
          <w:szCs w:val="20"/>
          <w:lang w:val="en-US"/>
        </w:rPr>
        <w:t>Ceará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, northeastern Brazil. </w:t>
      </w:r>
      <w:r>
        <w:rPr>
          <w:rFonts w:eastAsia="Times New Roman"/>
          <w:sz w:val="20"/>
          <w:szCs w:val="20"/>
          <w:lang w:val="pt-BR"/>
        </w:rPr>
        <w:t>Salamandra, 52 (2): 134-152.</w:t>
      </w:r>
    </w:p>
    <w:p w14:paraId="3A3380CF" w14:textId="77777777" w:rsidR="00864D83" w:rsidRDefault="00233B7B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pt-BR"/>
        </w:rPr>
        <w:t xml:space="preserve">Santana, D.J.; </w:t>
      </w:r>
      <w:proofErr w:type="spellStart"/>
      <w:r>
        <w:rPr>
          <w:rFonts w:eastAsia="Times New Roman"/>
          <w:sz w:val="20"/>
          <w:szCs w:val="20"/>
          <w:lang w:val="pt-BR"/>
        </w:rPr>
        <w:t>MâNgia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S.; Silveira-Filho, R.R.; Barros, L.C.S.; Andrade, I.; Napoli, M.F.; Juncá, F. &amp; A.A. </w:t>
      </w:r>
      <w:proofErr w:type="spellStart"/>
      <w:r>
        <w:rPr>
          <w:rFonts w:eastAsia="Times New Roman"/>
          <w:sz w:val="20"/>
          <w:szCs w:val="20"/>
          <w:lang w:val="pt-BR"/>
        </w:rPr>
        <w:t>Garda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. </w:t>
      </w:r>
      <w:r>
        <w:rPr>
          <w:rFonts w:eastAsia="Times New Roman"/>
          <w:sz w:val="20"/>
          <w:szCs w:val="20"/>
          <w:lang w:val="en-US"/>
        </w:rPr>
        <w:t xml:space="preserve">2015. Anurans from the Middle </w:t>
      </w:r>
      <w:proofErr w:type="spellStart"/>
      <w:r>
        <w:rPr>
          <w:rFonts w:eastAsia="Times New Roman"/>
          <w:sz w:val="20"/>
          <w:szCs w:val="20"/>
          <w:lang w:val="en-US"/>
        </w:rPr>
        <w:t>Jaguaribe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 River Region, </w:t>
      </w:r>
      <w:proofErr w:type="spellStart"/>
      <w:r>
        <w:rPr>
          <w:rFonts w:eastAsia="Times New Roman"/>
          <w:sz w:val="20"/>
          <w:szCs w:val="20"/>
          <w:lang w:val="en-US"/>
        </w:rPr>
        <w:t>Ceara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́ State, Northeastern Brazil. Biota </w:t>
      </w:r>
      <w:proofErr w:type="spellStart"/>
      <w:r>
        <w:rPr>
          <w:rFonts w:eastAsia="Times New Roman"/>
          <w:sz w:val="20"/>
          <w:szCs w:val="20"/>
          <w:lang w:val="en-US"/>
        </w:rPr>
        <w:t>Neotropica</w:t>
      </w:r>
      <w:proofErr w:type="spellEnd"/>
      <w:r>
        <w:rPr>
          <w:rFonts w:eastAsia="Times New Roman"/>
          <w:sz w:val="20"/>
          <w:szCs w:val="20"/>
          <w:lang w:val="en-US"/>
        </w:rPr>
        <w:t>, Campinas, 15 (3): 1-8.</w:t>
      </w:r>
    </w:p>
    <w:p w14:paraId="64E14E8D" w14:textId="2A2A2219" w:rsidR="00864D83" w:rsidRDefault="00233B7B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Segalla, M.V.; </w:t>
      </w:r>
      <w:proofErr w:type="spellStart"/>
      <w:r w:rsidR="000A17D3">
        <w:rPr>
          <w:sz w:val="20"/>
          <w:szCs w:val="20"/>
          <w:lang w:val="pt-BR"/>
        </w:rPr>
        <w:t>Berneck</w:t>
      </w:r>
      <w:proofErr w:type="spellEnd"/>
      <w:r w:rsidR="000A17D3">
        <w:rPr>
          <w:sz w:val="20"/>
          <w:szCs w:val="20"/>
          <w:lang w:val="pt-BR"/>
        </w:rPr>
        <w:t xml:space="preserve">, B.; Canedo, C.; </w:t>
      </w:r>
      <w:r>
        <w:rPr>
          <w:sz w:val="20"/>
          <w:szCs w:val="20"/>
        </w:rPr>
        <w:t>Caramaschi, U</w:t>
      </w:r>
      <w:proofErr w:type="gramStart"/>
      <w:r>
        <w:rPr>
          <w:sz w:val="20"/>
          <w:szCs w:val="20"/>
        </w:rPr>
        <w:t>.;</w:t>
      </w:r>
      <w:proofErr w:type="gramEnd"/>
      <w:r>
        <w:rPr>
          <w:sz w:val="20"/>
          <w:szCs w:val="20"/>
        </w:rPr>
        <w:t xml:space="preserve"> Cruz, C.A.G.; Garcia, P.C. A.; Grant, T.; Haddad, C.F.B.; </w:t>
      </w:r>
      <w:r w:rsidR="000A17D3">
        <w:rPr>
          <w:sz w:val="20"/>
          <w:szCs w:val="20"/>
          <w:lang w:val="pt-BR"/>
        </w:rPr>
        <w:t xml:space="preserve">Lourenço, A.C.C.; </w:t>
      </w:r>
      <w:proofErr w:type="spellStart"/>
      <w:r w:rsidR="000A17D3">
        <w:rPr>
          <w:sz w:val="20"/>
          <w:szCs w:val="20"/>
          <w:lang w:val="pt-BR"/>
        </w:rPr>
        <w:t>Mângia</w:t>
      </w:r>
      <w:proofErr w:type="spellEnd"/>
      <w:r w:rsidR="000A17D3">
        <w:rPr>
          <w:sz w:val="20"/>
          <w:szCs w:val="20"/>
          <w:lang w:val="pt-BR"/>
        </w:rPr>
        <w:t xml:space="preserve">, S.; Mott, T.; Nascimento, L.B.; </w:t>
      </w:r>
      <w:r>
        <w:rPr>
          <w:sz w:val="20"/>
          <w:szCs w:val="20"/>
        </w:rPr>
        <w:t>Toledo, L.F.</w:t>
      </w:r>
      <w:r>
        <w:rPr>
          <w:sz w:val="20"/>
          <w:szCs w:val="20"/>
          <w:lang w:val="en-US"/>
        </w:rPr>
        <w:t xml:space="preserve"> &amp; J.A.</w:t>
      </w:r>
      <w:r>
        <w:rPr>
          <w:sz w:val="20"/>
          <w:szCs w:val="20"/>
        </w:rPr>
        <w:t xml:space="preserve"> Langone.</w:t>
      </w:r>
      <w:r w:rsidR="000A17D3">
        <w:rPr>
          <w:sz w:val="20"/>
          <w:szCs w:val="20"/>
          <w:lang w:val="en-US"/>
        </w:rPr>
        <w:t xml:space="preserve"> 2021</w:t>
      </w:r>
      <w:r>
        <w:rPr>
          <w:sz w:val="20"/>
          <w:szCs w:val="20"/>
          <w:lang w:val="en-US"/>
        </w:rPr>
        <w:t>.</w:t>
      </w:r>
      <w:r>
        <w:rPr>
          <w:sz w:val="20"/>
          <w:szCs w:val="20"/>
        </w:rPr>
        <w:t xml:space="preserve"> Brazilian Amphibians: List of Spe</w:t>
      </w:r>
      <w:r w:rsidR="000A17D3">
        <w:rPr>
          <w:sz w:val="20"/>
          <w:szCs w:val="20"/>
        </w:rPr>
        <w:t xml:space="preserve">cies. Herpetologia Brasileira, </w:t>
      </w:r>
      <w:r w:rsidR="000A17D3">
        <w:rPr>
          <w:sz w:val="20"/>
          <w:szCs w:val="20"/>
          <w:lang w:val="pt-BR"/>
        </w:rPr>
        <w:t>10</w:t>
      </w:r>
      <w:r>
        <w:rPr>
          <w:sz w:val="20"/>
          <w:szCs w:val="20"/>
          <w:lang w:val="en-US"/>
        </w:rPr>
        <w:t xml:space="preserve"> (1):</w:t>
      </w:r>
      <w:r>
        <w:rPr>
          <w:sz w:val="20"/>
          <w:szCs w:val="20"/>
        </w:rPr>
        <w:t xml:space="preserve"> </w:t>
      </w:r>
      <w:r w:rsidR="000A17D3">
        <w:rPr>
          <w:sz w:val="20"/>
          <w:szCs w:val="20"/>
          <w:lang w:val="pt-BR"/>
        </w:rPr>
        <w:t>121-216</w:t>
      </w:r>
      <w:r>
        <w:rPr>
          <w:sz w:val="20"/>
          <w:szCs w:val="20"/>
        </w:rPr>
        <w:t>.</w:t>
      </w:r>
    </w:p>
    <w:p w14:paraId="328F70C2" w14:textId="77777777" w:rsidR="00864D83" w:rsidRDefault="00233B7B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en-US"/>
        </w:rPr>
        <w:t xml:space="preserve">SILVA, J. M. C.; BARBOSA, L. C. F.; LEAL, I. R.; TABARELLI, M. The Caatinga: Understanding the Challenges In: SILVA, J. M. C.; LEAL, I. R.; TABARELLI, M. (Orgs.). Caatinga the largest tropical dry forest region in south America. </w:t>
      </w:r>
      <w:r>
        <w:rPr>
          <w:rFonts w:eastAsia="Times New Roman"/>
          <w:sz w:val="20"/>
          <w:szCs w:val="20"/>
          <w:lang w:val="pt-BR"/>
        </w:rPr>
        <w:t xml:space="preserve">Springer </w:t>
      </w:r>
      <w:proofErr w:type="spellStart"/>
      <w:r>
        <w:rPr>
          <w:rFonts w:eastAsia="Times New Roman"/>
          <w:sz w:val="20"/>
          <w:szCs w:val="20"/>
          <w:lang w:val="pt-BR"/>
        </w:rPr>
        <w:t>International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pt-BR"/>
        </w:rPr>
        <w:t>Publishing</w:t>
      </w:r>
      <w:proofErr w:type="spellEnd"/>
      <w:r>
        <w:rPr>
          <w:rFonts w:eastAsia="Times New Roman"/>
          <w:sz w:val="20"/>
          <w:szCs w:val="20"/>
          <w:lang w:val="pt-BR"/>
        </w:rPr>
        <w:t>, 2017. 482p.</w:t>
      </w:r>
    </w:p>
    <w:p w14:paraId="43E58DC8" w14:textId="77777777" w:rsidR="00864D83" w:rsidRDefault="00233B7B">
      <w:pPr>
        <w:tabs>
          <w:tab w:val="left" w:pos="709"/>
        </w:tabs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Silva-Neta, A.F.; Silva, M.C.; R.W. Ávila. 2018. </w:t>
      </w:r>
      <w:proofErr w:type="spellStart"/>
      <w:r>
        <w:rPr>
          <w:rFonts w:eastAsia="Times New Roman"/>
          <w:sz w:val="20"/>
          <w:szCs w:val="20"/>
          <w:lang w:val="pt-BR"/>
        </w:rPr>
        <w:t>Herpetofauna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da Bacia Hidrográfica do Rio Salgado, Estado do Ceará, Nordeste do Brasil. Boletim do Museu de Biologia Mello Leitão, 40 (1): 23-48.</w:t>
      </w:r>
    </w:p>
    <w:sectPr w:rsidR="00864D83">
      <w:headerReference w:type="default" r:id="rId9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ksz" w:date="2023-08-30T18:54:00Z" w:initials="K">
    <w:p w14:paraId="587CFA30" w14:textId="77777777" w:rsidR="00864D83" w:rsidRDefault="00233B7B">
      <w:pPr>
        <w:pStyle w:val="Textodecomentrio"/>
      </w:pPr>
      <w:r>
        <w:t>Onde está a Tabela 1?</w:t>
      </w:r>
    </w:p>
  </w:comment>
  <w:comment w:id="1" w:author="Mikaela Clotilde" w:date="2023-09-12T19:59:00Z" w:initials="MC">
    <w:p w14:paraId="4D96D6AF" w14:textId="77777777" w:rsidR="0031387A" w:rsidRDefault="0031387A">
      <w:pPr>
        <w:pStyle w:val="Textodecomentrio"/>
      </w:pPr>
      <w:r>
        <w:rPr>
          <w:rStyle w:val="Refdecomentrio"/>
        </w:rPr>
        <w:annotationRef/>
      </w:r>
      <w:r>
        <w:t>Acabei enviando sem, mas adicionei. Em relação a imagem, foi um engano eu ter adicionado.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7CFA30" w15:done="0"/>
  <w15:commentEx w15:paraId="4D96D6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7CFA30" w16cid:durableId="28AC7EF4"/>
  <w16cid:commentId w16cid:paraId="4D96D6AF" w16cid:durableId="28AC7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1D7C" w14:textId="77777777" w:rsidR="009A3687" w:rsidRDefault="009A3687">
      <w:pPr>
        <w:spacing w:line="240" w:lineRule="auto"/>
      </w:pPr>
      <w:r>
        <w:separator/>
      </w:r>
    </w:p>
  </w:endnote>
  <w:endnote w:type="continuationSeparator" w:id="0">
    <w:p w14:paraId="36836DE8" w14:textId="77777777" w:rsidR="009A3687" w:rsidRDefault="009A3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389C7" w14:textId="77777777" w:rsidR="009A3687" w:rsidRDefault="009A3687">
      <w:r>
        <w:separator/>
      </w:r>
    </w:p>
  </w:footnote>
  <w:footnote w:type="continuationSeparator" w:id="0">
    <w:p w14:paraId="542CA0DE" w14:textId="77777777" w:rsidR="009A3687" w:rsidRDefault="009A3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2B94B" w14:textId="77777777" w:rsidR="00864D83" w:rsidRDefault="00233B7B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13B6BDD8" wp14:editId="649DBF5D">
          <wp:extent cx="1776095" cy="798195"/>
          <wp:effectExtent l="0" t="0" r="6985" b="9525"/>
          <wp:docPr id="1" name="Imagem 1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elo Kokubum">
    <w15:presenceInfo w15:providerId="Windows Live" w15:userId="88892b33e039f699"/>
  </w15:person>
  <w15:person w15:author="ksz">
    <w15:presenceInfo w15:providerId="None" w15:userId="k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8C"/>
    <w:rsid w:val="000A17D3"/>
    <w:rsid w:val="00116191"/>
    <w:rsid w:val="00170360"/>
    <w:rsid w:val="001C18D7"/>
    <w:rsid w:val="00233B7B"/>
    <w:rsid w:val="002450D1"/>
    <w:rsid w:val="0025627A"/>
    <w:rsid w:val="002A7230"/>
    <w:rsid w:val="002F65A6"/>
    <w:rsid w:val="002F708C"/>
    <w:rsid w:val="0031387A"/>
    <w:rsid w:val="0034128C"/>
    <w:rsid w:val="0037473F"/>
    <w:rsid w:val="003A797A"/>
    <w:rsid w:val="003B23F6"/>
    <w:rsid w:val="003B76BD"/>
    <w:rsid w:val="003D0BCD"/>
    <w:rsid w:val="003F159B"/>
    <w:rsid w:val="004F45AC"/>
    <w:rsid w:val="005B5400"/>
    <w:rsid w:val="0064296F"/>
    <w:rsid w:val="006A1EE1"/>
    <w:rsid w:val="006A68FF"/>
    <w:rsid w:val="006D463F"/>
    <w:rsid w:val="006E090A"/>
    <w:rsid w:val="007165F5"/>
    <w:rsid w:val="007748EB"/>
    <w:rsid w:val="007A29FF"/>
    <w:rsid w:val="007E1D50"/>
    <w:rsid w:val="007F2247"/>
    <w:rsid w:val="0084762A"/>
    <w:rsid w:val="0085299A"/>
    <w:rsid w:val="00864D83"/>
    <w:rsid w:val="00867983"/>
    <w:rsid w:val="00933E97"/>
    <w:rsid w:val="00962D06"/>
    <w:rsid w:val="00964735"/>
    <w:rsid w:val="00981644"/>
    <w:rsid w:val="009A3687"/>
    <w:rsid w:val="009D545E"/>
    <w:rsid w:val="00A05498"/>
    <w:rsid w:val="00A95EF4"/>
    <w:rsid w:val="00AC2ABC"/>
    <w:rsid w:val="00AC42C0"/>
    <w:rsid w:val="00B0017E"/>
    <w:rsid w:val="00B97838"/>
    <w:rsid w:val="00C1131B"/>
    <w:rsid w:val="00C74FF2"/>
    <w:rsid w:val="00C90E51"/>
    <w:rsid w:val="00C9609B"/>
    <w:rsid w:val="00CD05F0"/>
    <w:rsid w:val="00CD5704"/>
    <w:rsid w:val="00D54CA1"/>
    <w:rsid w:val="00D6173E"/>
    <w:rsid w:val="00D63A83"/>
    <w:rsid w:val="00DA6DAB"/>
    <w:rsid w:val="00DD2CF2"/>
    <w:rsid w:val="00E03AA7"/>
    <w:rsid w:val="00E46A42"/>
    <w:rsid w:val="00E5649D"/>
    <w:rsid w:val="00E856DF"/>
    <w:rsid w:val="00EB7C2A"/>
    <w:rsid w:val="00EC0C5F"/>
    <w:rsid w:val="00ED1E04"/>
    <w:rsid w:val="00EF53BA"/>
    <w:rsid w:val="00F2331E"/>
    <w:rsid w:val="00F5751B"/>
    <w:rsid w:val="00F60DB9"/>
    <w:rsid w:val="00F62FEC"/>
    <w:rsid w:val="00FA3D3C"/>
    <w:rsid w:val="06AB2D99"/>
    <w:rsid w:val="0A2F1F5A"/>
    <w:rsid w:val="0CB662BA"/>
    <w:rsid w:val="167B494E"/>
    <w:rsid w:val="1CA26503"/>
    <w:rsid w:val="1F2C3C5E"/>
    <w:rsid w:val="206B0E46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6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footer" w:qFormat="1"/>
    <w:lsdException w:name="caption" w:uiPriority="35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Assuntodocomentrio">
    <w:name w:val="annotation subject"/>
    <w:basedOn w:val="Textodecomentrio"/>
    <w:next w:val="Textodecomentrio"/>
    <w:link w:val="AssuntodocomentrioChar"/>
    <w:pPr>
      <w:widowControl/>
    </w:pPr>
    <w:rPr>
      <w:rFonts w:ascii="Arial" w:eastAsia="SimSun" w:hAnsi="Arial" w:cs="Arial"/>
      <w:b/>
      <w:bCs/>
      <w:lang w:val="zh-CN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uiPriority w:val="35"/>
    <w:unhideWhenUsed/>
    <w:qFormat/>
    <w:pPr>
      <w:widowControl w:val="0"/>
      <w:spacing w:after="20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pt-BR"/>
    </w:rPr>
  </w:style>
  <w:style w:type="paragraph" w:styleId="Textodebalo">
    <w:name w:val="Balloon Text"/>
    <w:basedOn w:val="Normal"/>
    <w:link w:val="TextodebaloChar"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  <w:lang w:val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Times New Roman" w:eastAsia="Times New Roman" w:hAnsi="Times New Roman" w:cs="Times New Roman"/>
      <w:b/>
      <w:bCs/>
      <w:lang w:val="zh-CN"/>
    </w:rPr>
  </w:style>
  <w:style w:type="paragraph" w:customStyle="1" w:styleId="Reviso1">
    <w:name w:val="Revisão1"/>
    <w:hidden/>
    <w:uiPriority w:val="99"/>
    <w:unhideWhenUsed/>
    <w:rPr>
      <w:sz w:val="22"/>
      <w:szCs w:val="22"/>
      <w:lang w:val="zh-CN"/>
    </w:rPr>
  </w:style>
  <w:style w:type="table" w:styleId="Tabelacomgrade">
    <w:name w:val="Table Grid"/>
    <w:basedOn w:val="Tabelanormal"/>
    <w:rsid w:val="00DA6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unhideWhenUsed/>
    <w:rsid w:val="003D0BCD"/>
    <w:rPr>
      <w:sz w:val="22"/>
      <w:szCs w:val="2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footer" w:qFormat="1"/>
    <w:lsdException w:name="caption" w:uiPriority="35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Assuntodocomentrio">
    <w:name w:val="annotation subject"/>
    <w:basedOn w:val="Textodecomentrio"/>
    <w:next w:val="Textodecomentrio"/>
    <w:link w:val="AssuntodocomentrioChar"/>
    <w:pPr>
      <w:widowControl/>
    </w:pPr>
    <w:rPr>
      <w:rFonts w:ascii="Arial" w:eastAsia="SimSun" w:hAnsi="Arial" w:cs="Arial"/>
      <w:b/>
      <w:bCs/>
      <w:lang w:val="zh-CN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uiPriority w:val="35"/>
    <w:unhideWhenUsed/>
    <w:qFormat/>
    <w:pPr>
      <w:widowControl w:val="0"/>
      <w:spacing w:after="20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pt-BR"/>
    </w:rPr>
  </w:style>
  <w:style w:type="paragraph" w:styleId="Textodebalo">
    <w:name w:val="Balloon Text"/>
    <w:basedOn w:val="Normal"/>
    <w:link w:val="TextodebaloChar"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  <w:lang w:val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Times New Roman" w:eastAsia="Times New Roman" w:hAnsi="Times New Roman" w:cs="Times New Roman"/>
      <w:b/>
      <w:bCs/>
      <w:lang w:val="zh-CN"/>
    </w:rPr>
  </w:style>
  <w:style w:type="paragraph" w:customStyle="1" w:styleId="Reviso1">
    <w:name w:val="Revisão1"/>
    <w:hidden/>
    <w:uiPriority w:val="99"/>
    <w:unhideWhenUsed/>
    <w:rPr>
      <w:sz w:val="22"/>
      <w:szCs w:val="22"/>
      <w:lang w:val="zh-CN"/>
    </w:rPr>
  </w:style>
  <w:style w:type="table" w:styleId="Tabelacomgrade">
    <w:name w:val="Table Grid"/>
    <w:basedOn w:val="Tabelanormal"/>
    <w:rsid w:val="00DA6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unhideWhenUsed/>
    <w:rsid w:val="003D0BCD"/>
    <w:rPr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9C20-A23F-48E9-B0CB-48064889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1744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Mikaela Clotilde</cp:lastModifiedBy>
  <cp:revision>5</cp:revision>
  <dcterms:created xsi:type="dcterms:W3CDTF">2023-09-13T21:44:00Z</dcterms:created>
  <dcterms:modified xsi:type="dcterms:W3CDTF">2023-09-14T01:53:00Z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72DE21DEC1A84E559D7BB609DCEDA745</vt:lpwstr>
  </property>
</Properties>
</file>