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both"/>
        <w:rPr>
          <w:b w:val="1"/>
          <w:sz w:val="20"/>
          <w:szCs w:val="20"/>
        </w:rPr>
      </w:pPr>
      <w:r w:rsidDel="00000000" w:rsidR="00000000" w:rsidRPr="00000000">
        <w:rPr>
          <w:b w:val="1"/>
          <w:sz w:val="20"/>
          <w:szCs w:val="20"/>
          <w:rtl w:val="0"/>
        </w:rPr>
        <w:t xml:space="preserve">ARÉA TEMÁTICA: Taxonomia </w:t>
      </w:r>
    </w:p>
    <w:p w:rsidR="00000000" w:rsidDel="00000000" w:rsidP="00000000" w:rsidRDefault="00000000" w:rsidRPr="00000000" w14:paraId="00000002">
      <w:pPr>
        <w:spacing w:line="240" w:lineRule="auto"/>
        <w:jc w:val="both"/>
        <w:rPr>
          <w:b w:val="1"/>
          <w:sz w:val="20"/>
          <w:szCs w:val="20"/>
        </w:rPr>
      </w:pPr>
      <w:r w:rsidDel="00000000" w:rsidR="00000000" w:rsidRPr="00000000">
        <w:rPr>
          <w:b w:val="1"/>
          <w:sz w:val="20"/>
          <w:szCs w:val="20"/>
          <w:rtl w:val="0"/>
        </w:rPr>
        <w:t xml:space="preserve">SUBÁREA TEMÁTICA: invertebrados</w:t>
      </w:r>
    </w:p>
    <w:p w:rsidR="00000000" w:rsidDel="00000000" w:rsidP="00000000" w:rsidRDefault="00000000" w:rsidRPr="00000000" w14:paraId="00000003">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04">
      <w:pPr>
        <w:spacing w:line="240" w:lineRule="auto"/>
        <w:jc w:val="center"/>
        <w:rPr>
          <w:b w:val="1"/>
          <w:sz w:val="20"/>
          <w:szCs w:val="20"/>
        </w:rPr>
      </w:pPr>
      <w:r w:rsidDel="00000000" w:rsidR="00000000" w:rsidRPr="00000000">
        <w:rPr>
          <w:b w:val="1"/>
          <w:sz w:val="20"/>
          <w:szCs w:val="20"/>
          <w:rtl w:val="0"/>
        </w:rPr>
        <w:t xml:space="preserve">IMPACTOS DA PESCA INCIDENTAL EM COMUNIDADES SÉSSEIS NO GRANDE SISTEMA DE RECIFES DA AMAZÔNIA </w:t>
      </w:r>
    </w:p>
    <w:p w:rsidR="00000000" w:rsidDel="00000000" w:rsidP="00000000" w:rsidRDefault="00000000" w:rsidRPr="00000000" w14:paraId="00000005">
      <w:pPr>
        <w:spacing w:line="240" w:lineRule="auto"/>
        <w:ind w:left="360" w:firstLine="0"/>
        <w:jc w:val="center"/>
        <w:rPr>
          <w:sz w:val="20"/>
          <w:szCs w:val="20"/>
        </w:rPr>
      </w:pPr>
      <w:r w:rsidDel="00000000" w:rsidR="00000000" w:rsidRPr="00000000">
        <w:rPr>
          <w:sz w:val="20"/>
          <w:szCs w:val="20"/>
          <w:rtl w:val="0"/>
        </w:rPr>
        <w:t xml:space="preserve">Afonso Luiz José de Oliveira Silva</w:t>
      </w:r>
      <w:r w:rsidDel="00000000" w:rsidR="00000000" w:rsidRPr="00000000">
        <w:rPr>
          <w:sz w:val="20"/>
          <w:szCs w:val="20"/>
          <w:vertAlign w:val="superscript"/>
          <w:rtl w:val="0"/>
        </w:rPr>
        <w:t xml:space="preserve">1</w:t>
      </w:r>
      <w:r w:rsidDel="00000000" w:rsidR="00000000" w:rsidRPr="00000000">
        <w:rPr>
          <w:sz w:val="20"/>
          <w:szCs w:val="20"/>
          <w:rtl w:val="0"/>
        </w:rPr>
        <w:t xml:space="preserve">, Alex Garcia Cavalleiro de Macedo Klautau</w:t>
      </w:r>
      <w:r w:rsidDel="00000000" w:rsidR="00000000" w:rsidRPr="00000000">
        <w:rPr>
          <w:sz w:val="20"/>
          <w:szCs w:val="20"/>
          <w:vertAlign w:val="superscript"/>
          <w:rtl w:val="0"/>
        </w:rPr>
        <w:t xml:space="preserve">2</w:t>
      </w:r>
      <w:r w:rsidDel="00000000" w:rsidR="00000000" w:rsidRPr="00000000">
        <w:rPr>
          <w:sz w:val="20"/>
          <w:szCs w:val="20"/>
          <w:rtl w:val="0"/>
        </w:rPr>
        <w:t xml:space="preserve">, Alexandre Pires Marceniuk</w:t>
      </w:r>
      <w:r w:rsidDel="00000000" w:rsidR="00000000" w:rsidRPr="00000000">
        <w:rPr>
          <w:sz w:val="20"/>
          <w:szCs w:val="20"/>
          <w:vertAlign w:val="superscript"/>
          <w:rtl w:val="0"/>
        </w:rPr>
        <w:t xml:space="preserve">3</w:t>
      </w:r>
      <w:r w:rsidDel="00000000" w:rsidR="00000000" w:rsidRPr="00000000">
        <w:rPr>
          <w:sz w:val="20"/>
          <w:szCs w:val="20"/>
          <w:rtl w:val="0"/>
        </w:rPr>
        <w:t xml:space="preserve">, George G. Santos</w:t>
      </w:r>
      <w:r w:rsidDel="00000000" w:rsidR="00000000" w:rsidRPr="00000000">
        <w:rPr>
          <w:sz w:val="20"/>
          <w:szCs w:val="20"/>
          <w:vertAlign w:val="superscript"/>
          <w:rtl w:val="0"/>
        </w:rPr>
        <w:t xml:space="preserve">4</w:t>
      </w:r>
      <w:r w:rsidDel="00000000" w:rsidR="00000000" w:rsidRPr="00000000">
        <w:rPr>
          <w:sz w:val="20"/>
          <w:szCs w:val="20"/>
          <w:rtl w:val="0"/>
        </w:rPr>
        <w:t xml:space="preserve">, Felipe Ferreira Campos</w:t>
      </w:r>
      <w:r w:rsidDel="00000000" w:rsidR="00000000" w:rsidRPr="00000000">
        <w:rPr>
          <w:sz w:val="20"/>
          <w:szCs w:val="20"/>
          <w:vertAlign w:val="superscript"/>
          <w:rtl w:val="0"/>
        </w:rPr>
        <w:t xml:space="preserve">5</w:t>
      </w:r>
      <w:r w:rsidDel="00000000" w:rsidR="00000000" w:rsidRPr="00000000">
        <w:rPr>
          <w:sz w:val="20"/>
          <w:szCs w:val="20"/>
          <w:rtl w:val="0"/>
        </w:rPr>
        <w:t xml:space="preserve">,</w:t>
      </w:r>
      <w:r w:rsidDel="00000000" w:rsidR="00000000" w:rsidRPr="00000000">
        <w:rPr>
          <w:sz w:val="20"/>
          <w:szCs w:val="20"/>
          <w:vertAlign w:val="superscript"/>
          <w:rtl w:val="0"/>
        </w:rPr>
        <w:t xml:space="preserve"> </w:t>
      </w:r>
      <w:r w:rsidDel="00000000" w:rsidR="00000000" w:rsidRPr="00000000">
        <w:rPr>
          <w:sz w:val="20"/>
          <w:szCs w:val="20"/>
          <w:rtl w:val="0"/>
        </w:rPr>
        <w:t xml:space="preserve">Ronaldo B. Francini-Filho</w:t>
      </w:r>
      <w:r w:rsidDel="00000000" w:rsidR="00000000" w:rsidRPr="00000000">
        <w:rPr>
          <w:sz w:val="20"/>
          <w:szCs w:val="20"/>
          <w:vertAlign w:val="superscript"/>
          <w:rtl w:val="0"/>
        </w:rPr>
        <w:t xml:space="preserve">6</w:t>
      </w:r>
      <w:r w:rsidDel="00000000" w:rsidR="00000000" w:rsidRPr="00000000">
        <w:rPr>
          <w:sz w:val="20"/>
          <w:szCs w:val="20"/>
          <w:rtl w:val="0"/>
        </w:rPr>
        <w:t xml:space="preserve">, Bruno Eleres </w:t>
      </w:r>
      <w:r w:rsidDel="00000000" w:rsidR="00000000" w:rsidRPr="00000000">
        <w:rPr>
          <w:sz w:val="20"/>
          <w:szCs w:val="20"/>
          <w:rtl w:val="0"/>
        </w:rPr>
        <w:t xml:space="preserve">Soares</w:t>
      </w:r>
      <w:r w:rsidDel="00000000" w:rsidR="00000000" w:rsidRPr="00000000">
        <w:rPr>
          <w:sz w:val="20"/>
          <w:szCs w:val="20"/>
          <w:vertAlign w:val="superscript"/>
          <w:rtl w:val="0"/>
        </w:rPr>
        <w:t xml:space="preserve">7</w:t>
      </w:r>
      <w:r w:rsidDel="00000000" w:rsidR="00000000" w:rsidRPr="00000000">
        <w:rPr>
          <w:sz w:val="20"/>
          <w:szCs w:val="20"/>
          <w:rtl w:val="0"/>
        </w:rPr>
        <w:t xml:space="preserve"> and</w:t>
      </w:r>
      <w:r w:rsidDel="00000000" w:rsidR="00000000" w:rsidRPr="00000000">
        <w:rPr>
          <w:sz w:val="20"/>
          <w:szCs w:val="20"/>
          <w:vertAlign w:val="superscript"/>
          <w:rtl w:val="0"/>
        </w:rPr>
        <w:t xml:space="preserve"> </w:t>
      </w:r>
      <w:r w:rsidDel="00000000" w:rsidR="00000000" w:rsidRPr="00000000">
        <w:rPr>
          <w:sz w:val="20"/>
          <w:szCs w:val="20"/>
          <w:rtl w:val="0"/>
        </w:rPr>
        <w:t xml:space="preserve">Ralf Tarciso Silva </w:t>
      </w:r>
      <w:r w:rsidDel="00000000" w:rsidR="00000000" w:rsidRPr="00000000">
        <w:rPr>
          <w:sz w:val="20"/>
          <w:szCs w:val="20"/>
          <w:rtl w:val="0"/>
        </w:rPr>
        <w:t xml:space="preserve">Cordeiro</w:t>
      </w:r>
      <w:r w:rsidDel="00000000" w:rsidR="00000000" w:rsidRPr="00000000">
        <w:rPr>
          <w:sz w:val="20"/>
          <w:szCs w:val="20"/>
          <w:vertAlign w:val="superscript"/>
          <w:rtl w:val="0"/>
        </w:rPr>
        <w:t xml:space="preserve">1</w:t>
      </w:r>
      <w:r w:rsidDel="00000000" w:rsidR="00000000" w:rsidRPr="00000000">
        <w:rPr>
          <w:rtl w:val="0"/>
        </w:rPr>
      </w:r>
    </w:p>
    <w:p w:rsidR="00000000" w:rsidDel="00000000" w:rsidP="00000000" w:rsidRDefault="00000000" w:rsidRPr="00000000" w14:paraId="00000006">
      <w:pPr>
        <w:spacing w:line="240" w:lineRule="auto"/>
        <w:ind w:firstLine="720"/>
        <w:jc w:val="center"/>
        <w:rPr>
          <w:sz w:val="20"/>
          <w:szCs w:val="20"/>
        </w:rPr>
      </w:pPr>
      <w:r w:rsidDel="00000000" w:rsidR="00000000" w:rsidRPr="00000000">
        <w:rPr>
          <w:sz w:val="20"/>
          <w:szCs w:val="20"/>
          <w:rtl w:val="0"/>
        </w:rPr>
        <w:t xml:space="preserve">¹Universidade Federal Rural de Pernambuco (UFRPE), Campus Recife. E-mail (ALJOS): </w:t>
      </w:r>
      <w:r w:rsidDel="00000000" w:rsidR="00000000" w:rsidRPr="00000000">
        <w:rPr>
          <w:sz w:val="20"/>
          <w:szCs w:val="20"/>
          <w:rtl w:val="0"/>
        </w:rPr>
        <w:t xml:space="preserve">afonsoxb@gmail.com</w:t>
      </w:r>
      <w:r w:rsidDel="00000000" w:rsidR="00000000" w:rsidRPr="00000000">
        <w:rPr>
          <w:sz w:val="20"/>
          <w:szCs w:val="20"/>
          <w:rtl w:val="0"/>
        </w:rPr>
        <w:t xml:space="preserve">, E-mail (RTSC): ralfts@gmail.com</w:t>
      </w:r>
      <w:r w:rsidDel="00000000" w:rsidR="00000000" w:rsidRPr="00000000">
        <w:rPr>
          <w:rtl w:val="0"/>
        </w:rPr>
      </w:r>
    </w:p>
    <w:p w:rsidR="00000000" w:rsidDel="00000000" w:rsidP="00000000" w:rsidRDefault="00000000" w:rsidRPr="00000000" w14:paraId="00000007">
      <w:pPr>
        <w:spacing w:line="240" w:lineRule="auto"/>
        <w:ind w:firstLine="720"/>
        <w:jc w:val="center"/>
        <w:rPr>
          <w:sz w:val="20"/>
          <w:szCs w:val="20"/>
        </w:rPr>
      </w:pPr>
      <w:r w:rsidDel="00000000" w:rsidR="00000000" w:rsidRPr="00000000">
        <w:rPr>
          <w:sz w:val="20"/>
          <w:szCs w:val="20"/>
          <w:rtl w:val="0"/>
        </w:rPr>
        <w:t xml:space="preserve">²C</w:t>
      </w:r>
      <w:r w:rsidDel="00000000" w:rsidR="00000000" w:rsidRPr="00000000">
        <w:rPr>
          <w:sz w:val="20"/>
          <w:szCs w:val="20"/>
          <w:highlight w:val="white"/>
          <w:rtl w:val="0"/>
        </w:rPr>
        <w:t xml:space="preserve">entro Nacional de Pesquisa e Conservação da Biodiversidade Marinha do Norte</w:t>
      </w:r>
      <w:r w:rsidDel="00000000" w:rsidR="00000000" w:rsidRPr="00000000">
        <w:rPr>
          <w:color w:val="403d39"/>
          <w:sz w:val="20"/>
          <w:szCs w:val="20"/>
          <w:highlight w:val="white"/>
          <w:rtl w:val="0"/>
        </w:rPr>
        <w:t xml:space="preserve"> </w:t>
      </w:r>
      <w:r w:rsidDel="00000000" w:rsidR="00000000" w:rsidRPr="00000000">
        <w:rPr>
          <w:sz w:val="20"/>
          <w:szCs w:val="20"/>
          <w:rtl w:val="0"/>
        </w:rPr>
        <w:t xml:space="preserve">(CEPNOR), Belém</w:t>
      </w:r>
      <w:r w:rsidDel="00000000" w:rsidR="00000000" w:rsidRPr="00000000">
        <w:rPr>
          <w:i w:val="1"/>
          <w:sz w:val="20"/>
          <w:szCs w:val="20"/>
          <w:rtl w:val="0"/>
        </w:rPr>
        <w:t xml:space="preserve">. </w:t>
      </w:r>
      <w:r w:rsidDel="00000000" w:rsidR="00000000" w:rsidRPr="00000000">
        <w:rPr>
          <w:sz w:val="20"/>
          <w:szCs w:val="20"/>
          <w:rtl w:val="0"/>
        </w:rPr>
        <w:t xml:space="preserve">E-mail (AGCMK): </w:t>
      </w:r>
      <w:r w:rsidDel="00000000" w:rsidR="00000000" w:rsidRPr="00000000">
        <w:rPr>
          <w:sz w:val="20"/>
          <w:szCs w:val="20"/>
          <w:highlight w:val="white"/>
          <w:rtl w:val="0"/>
        </w:rPr>
        <w:t xml:space="preserve">alex.</w:t>
      </w:r>
      <w:r w:rsidDel="00000000" w:rsidR="00000000" w:rsidRPr="00000000">
        <w:rPr>
          <w:sz w:val="20"/>
          <w:szCs w:val="20"/>
          <w:highlight w:val="white"/>
          <w:rtl w:val="0"/>
        </w:rPr>
        <w:t xml:space="preserve">klautau</w:t>
      </w:r>
      <w:r w:rsidDel="00000000" w:rsidR="00000000" w:rsidRPr="00000000">
        <w:rPr>
          <w:sz w:val="20"/>
          <w:szCs w:val="20"/>
          <w:highlight w:val="white"/>
          <w:rtl w:val="0"/>
        </w:rPr>
        <w:t xml:space="preserve">@icmbio.gov.br</w:t>
      </w:r>
      <w:r w:rsidDel="00000000" w:rsidR="00000000" w:rsidRPr="00000000">
        <w:rPr>
          <w:rtl w:val="0"/>
        </w:rPr>
      </w:r>
    </w:p>
    <w:p w:rsidR="00000000" w:rsidDel="00000000" w:rsidP="00000000" w:rsidRDefault="00000000" w:rsidRPr="00000000" w14:paraId="00000008">
      <w:pPr>
        <w:spacing w:line="240" w:lineRule="auto"/>
        <w:ind w:firstLine="720"/>
        <w:jc w:val="center"/>
        <w:rPr>
          <w:sz w:val="20"/>
          <w:szCs w:val="20"/>
          <w:vertAlign w:val="superscript"/>
        </w:rPr>
      </w:pPr>
      <w:r w:rsidDel="00000000" w:rsidR="00000000" w:rsidRPr="00000000">
        <w:rPr>
          <w:sz w:val="20"/>
          <w:szCs w:val="20"/>
          <w:vertAlign w:val="superscript"/>
          <w:rtl w:val="0"/>
        </w:rPr>
        <w:t xml:space="preserve">3</w:t>
      </w:r>
      <w:r w:rsidDel="00000000" w:rsidR="00000000" w:rsidRPr="00000000">
        <w:rPr>
          <w:sz w:val="20"/>
          <w:szCs w:val="20"/>
          <w:rtl w:val="0"/>
        </w:rPr>
        <w:t xml:space="preserve">Museu Paraense Emílio Goeldi, Belém</w:t>
      </w:r>
      <w:r w:rsidDel="00000000" w:rsidR="00000000" w:rsidRPr="00000000">
        <w:rPr>
          <w:i w:val="1"/>
          <w:sz w:val="20"/>
          <w:szCs w:val="20"/>
          <w:rtl w:val="0"/>
        </w:rPr>
        <w:t xml:space="preserve">. </w:t>
      </w:r>
      <w:r w:rsidDel="00000000" w:rsidR="00000000" w:rsidRPr="00000000">
        <w:rPr>
          <w:sz w:val="20"/>
          <w:szCs w:val="20"/>
          <w:rtl w:val="0"/>
        </w:rPr>
        <w:t xml:space="preserve">E-mail (APM): </w:t>
      </w:r>
      <w:r w:rsidDel="00000000" w:rsidR="00000000" w:rsidRPr="00000000">
        <w:rPr>
          <w:color w:val="666666"/>
          <w:sz w:val="20"/>
          <w:szCs w:val="20"/>
          <w:highlight w:val="white"/>
          <w:rtl w:val="0"/>
        </w:rPr>
        <w:t xml:space="preserve"> </w:t>
      </w:r>
      <w:r w:rsidDel="00000000" w:rsidR="00000000" w:rsidRPr="00000000">
        <w:rPr>
          <w:sz w:val="20"/>
          <w:szCs w:val="20"/>
          <w:highlight w:val="white"/>
          <w:rtl w:val="0"/>
        </w:rPr>
        <w:t xml:space="preserve">a_marceniuk@hotmail.com</w:t>
      </w:r>
      <w:r w:rsidDel="00000000" w:rsidR="00000000" w:rsidRPr="00000000">
        <w:rPr>
          <w:b w:val="1"/>
          <w:color w:val="666666"/>
          <w:sz w:val="20"/>
          <w:szCs w:val="20"/>
          <w:highlight w:val="white"/>
          <w:rtl w:val="0"/>
        </w:rPr>
        <w:t xml:space="preserve"> </w:t>
      </w:r>
      <w:r w:rsidDel="00000000" w:rsidR="00000000" w:rsidRPr="00000000">
        <w:rPr>
          <w:rtl w:val="0"/>
        </w:rPr>
      </w:r>
    </w:p>
    <w:p w:rsidR="00000000" w:rsidDel="00000000" w:rsidP="00000000" w:rsidRDefault="00000000" w:rsidRPr="00000000" w14:paraId="00000009">
      <w:pPr>
        <w:spacing w:line="240" w:lineRule="auto"/>
        <w:ind w:firstLine="720"/>
        <w:jc w:val="center"/>
        <w:rPr>
          <w:sz w:val="20"/>
          <w:szCs w:val="20"/>
        </w:rPr>
      </w:pPr>
      <w:r w:rsidDel="00000000" w:rsidR="00000000" w:rsidRPr="00000000">
        <w:rPr>
          <w:sz w:val="20"/>
          <w:szCs w:val="20"/>
          <w:vertAlign w:val="superscript"/>
          <w:rtl w:val="0"/>
        </w:rPr>
        <w:t xml:space="preserve">4</w:t>
      </w:r>
      <w:r w:rsidDel="00000000" w:rsidR="00000000" w:rsidRPr="00000000">
        <w:rPr>
          <w:sz w:val="20"/>
          <w:szCs w:val="20"/>
          <w:rtl w:val="0"/>
        </w:rPr>
        <w:t xml:space="preserve">Universidade</w:t>
      </w:r>
      <w:r w:rsidDel="00000000" w:rsidR="00000000" w:rsidRPr="00000000">
        <w:rPr>
          <w:sz w:val="20"/>
          <w:szCs w:val="20"/>
          <w:rtl w:val="0"/>
        </w:rPr>
        <w:t xml:space="preserve"> Federal do Cariri(UFCA), Campus Brejo Santo</w:t>
      </w:r>
      <w:r w:rsidDel="00000000" w:rsidR="00000000" w:rsidRPr="00000000">
        <w:rPr>
          <w:i w:val="1"/>
          <w:sz w:val="20"/>
          <w:szCs w:val="20"/>
          <w:rtl w:val="0"/>
        </w:rPr>
        <w:t xml:space="preserve">. </w:t>
      </w:r>
      <w:r w:rsidDel="00000000" w:rsidR="00000000" w:rsidRPr="00000000">
        <w:rPr>
          <w:sz w:val="20"/>
          <w:szCs w:val="20"/>
          <w:rtl w:val="0"/>
        </w:rPr>
        <w:t xml:space="preserve">E-mail (GGS): george.santos@ufca.edu.br</w:t>
      </w:r>
    </w:p>
    <w:p w:rsidR="00000000" w:rsidDel="00000000" w:rsidP="00000000" w:rsidRDefault="00000000" w:rsidRPr="00000000" w14:paraId="0000000A">
      <w:pPr>
        <w:spacing w:line="240" w:lineRule="auto"/>
        <w:ind w:firstLine="720"/>
        <w:jc w:val="center"/>
        <w:rPr>
          <w:sz w:val="20"/>
          <w:szCs w:val="20"/>
        </w:rPr>
      </w:pPr>
      <w:r w:rsidDel="00000000" w:rsidR="00000000" w:rsidRPr="00000000">
        <w:rPr>
          <w:sz w:val="20"/>
          <w:szCs w:val="20"/>
          <w:vertAlign w:val="superscript"/>
          <w:rtl w:val="0"/>
        </w:rPr>
        <w:t xml:space="preserve">5</w:t>
      </w:r>
      <w:r w:rsidDel="00000000" w:rsidR="00000000" w:rsidRPr="00000000">
        <w:rPr>
          <w:sz w:val="20"/>
          <w:szCs w:val="20"/>
          <w:rtl w:val="0"/>
        </w:rPr>
        <w:t xml:space="preserve">Universidade Federal de Pernambuco (UFPE), Centro acadêmico de vitória</w:t>
      </w:r>
      <w:r w:rsidDel="00000000" w:rsidR="00000000" w:rsidRPr="00000000">
        <w:rPr>
          <w:i w:val="1"/>
          <w:sz w:val="20"/>
          <w:szCs w:val="20"/>
          <w:rtl w:val="0"/>
        </w:rPr>
        <w:t xml:space="preserve">. </w:t>
      </w:r>
      <w:r w:rsidDel="00000000" w:rsidR="00000000" w:rsidRPr="00000000">
        <w:rPr>
          <w:sz w:val="20"/>
          <w:szCs w:val="20"/>
          <w:rtl w:val="0"/>
        </w:rPr>
        <w:t xml:space="preserve">E-mail (FFC): felipecampospb@gmail.com</w:t>
      </w:r>
    </w:p>
    <w:p w:rsidR="00000000" w:rsidDel="00000000" w:rsidP="00000000" w:rsidRDefault="00000000" w:rsidRPr="00000000" w14:paraId="0000000B">
      <w:pPr>
        <w:spacing w:line="240" w:lineRule="auto"/>
        <w:ind w:firstLine="720"/>
        <w:jc w:val="center"/>
        <w:rPr>
          <w:color w:val="040c28"/>
          <w:sz w:val="20"/>
          <w:szCs w:val="20"/>
        </w:rPr>
      </w:pPr>
      <w:r w:rsidDel="00000000" w:rsidR="00000000" w:rsidRPr="00000000">
        <w:rPr>
          <w:sz w:val="20"/>
          <w:szCs w:val="20"/>
          <w:vertAlign w:val="superscript"/>
          <w:rtl w:val="0"/>
        </w:rPr>
        <w:t xml:space="preserve">6</w:t>
      </w:r>
      <w:r w:rsidDel="00000000" w:rsidR="00000000" w:rsidRPr="00000000">
        <w:rPr>
          <w:sz w:val="20"/>
          <w:szCs w:val="20"/>
          <w:rtl w:val="0"/>
        </w:rPr>
        <w:t xml:space="preserve">Universidade de São Paulo (USP), São Sebastião</w:t>
      </w:r>
      <w:r w:rsidDel="00000000" w:rsidR="00000000" w:rsidRPr="00000000">
        <w:rPr>
          <w:i w:val="1"/>
          <w:sz w:val="20"/>
          <w:szCs w:val="20"/>
          <w:rtl w:val="0"/>
        </w:rPr>
        <w:t xml:space="preserve">. </w:t>
      </w:r>
      <w:r w:rsidDel="00000000" w:rsidR="00000000" w:rsidRPr="00000000">
        <w:rPr>
          <w:sz w:val="20"/>
          <w:szCs w:val="20"/>
          <w:rtl w:val="0"/>
        </w:rPr>
        <w:t xml:space="preserve">E-mail (</w:t>
      </w:r>
      <w:r w:rsidDel="00000000" w:rsidR="00000000" w:rsidRPr="00000000">
        <w:rPr>
          <w:sz w:val="20"/>
          <w:szCs w:val="20"/>
          <w:rtl w:val="0"/>
        </w:rPr>
        <w:t xml:space="preserve">RBFF</w:t>
      </w:r>
      <w:r w:rsidDel="00000000" w:rsidR="00000000" w:rsidRPr="00000000">
        <w:rPr>
          <w:sz w:val="20"/>
          <w:szCs w:val="20"/>
          <w:rtl w:val="0"/>
        </w:rPr>
        <w:t xml:space="preserve">): francinifilho@usp.br</w:t>
      </w:r>
      <w:r w:rsidDel="00000000" w:rsidR="00000000" w:rsidRPr="00000000">
        <w:rPr>
          <w:rtl w:val="0"/>
        </w:rPr>
      </w:r>
    </w:p>
    <w:p w:rsidR="00000000" w:rsidDel="00000000" w:rsidP="00000000" w:rsidRDefault="00000000" w:rsidRPr="00000000" w14:paraId="0000000C">
      <w:pPr>
        <w:spacing w:line="240" w:lineRule="auto"/>
        <w:ind w:firstLine="720"/>
        <w:jc w:val="center"/>
        <w:rPr>
          <w:sz w:val="20"/>
          <w:szCs w:val="20"/>
        </w:rPr>
      </w:pPr>
      <w:r w:rsidDel="00000000" w:rsidR="00000000" w:rsidRPr="00000000">
        <w:rPr>
          <w:sz w:val="20"/>
          <w:szCs w:val="20"/>
          <w:vertAlign w:val="superscript"/>
          <w:rtl w:val="0"/>
        </w:rPr>
        <w:t xml:space="preserve">7</w:t>
      </w:r>
      <w:r w:rsidDel="00000000" w:rsidR="00000000" w:rsidRPr="00000000">
        <w:rPr>
          <w:sz w:val="20"/>
          <w:szCs w:val="20"/>
          <w:rtl w:val="0"/>
        </w:rPr>
        <w:t xml:space="preserve">University of Regina, Regina-SK, Canada. E-mail (BES): soares.e.bruno@gmail.com</w:t>
      </w:r>
      <w:r w:rsidDel="00000000" w:rsidR="00000000" w:rsidRPr="00000000">
        <w:rPr>
          <w:rtl w:val="0"/>
        </w:rPr>
      </w:r>
    </w:p>
    <w:p w:rsidR="00000000" w:rsidDel="00000000" w:rsidP="00000000" w:rsidRDefault="00000000" w:rsidRPr="00000000" w14:paraId="0000000D">
      <w:pPr>
        <w:spacing w:line="240" w:lineRule="auto"/>
        <w:rPr>
          <w:b w:val="1"/>
          <w:sz w:val="20"/>
          <w:szCs w:val="20"/>
        </w:rPr>
      </w:pPr>
      <w:r w:rsidDel="00000000" w:rsidR="00000000" w:rsidRPr="00000000">
        <w:rPr>
          <w:rtl w:val="0"/>
        </w:rPr>
      </w:r>
    </w:p>
    <w:p w:rsidR="00000000" w:rsidDel="00000000" w:rsidP="00000000" w:rsidRDefault="00000000" w:rsidRPr="00000000" w14:paraId="0000000E">
      <w:pPr>
        <w:spacing w:line="240" w:lineRule="auto"/>
        <w:rPr>
          <w:b w:val="1"/>
          <w:sz w:val="20"/>
          <w:szCs w:val="20"/>
        </w:rPr>
      </w:pPr>
      <w:r w:rsidDel="00000000" w:rsidR="00000000" w:rsidRPr="00000000">
        <w:rPr>
          <w:b w:val="1"/>
          <w:sz w:val="20"/>
          <w:szCs w:val="20"/>
          <w:rtl w:val="0"/>
        </w:rPr>
        <w:t xml:space="preserve">INTRODUÇÃO</w:t>
      </w:r>
    </w:p>
    <w:p w:rsidR="00000000" w:rsidDel="00000000" w:rsidP="00000000" w:rsidRDefault="00000000" w:rsidRPr="00000000" w14:paraId="0000000F">
      <w:pPr>
        <w:spacing w:line="240" w:lineRule="auto"/>
        <w:ind w:firstLine="720"/>
        <w:jc w:val="both"/>
        <w:rPr>
          <w:sz w:val="20"/>
          <w:szCs w:val="20"/>
        </w:rPr>
      </w:pPr>
      <w:r w:rsidDel="00000000" w:rsidR="00000000" w:rsidRPr="00000000">
        <w:rPr>
          <w:sz w:val="20"/>
          <w:szCs w:val="20"/>
          <w:rtl w:val="0"/>
        </w:rPr>
        <w:t xml:space="preserve">Os recifes amazônicos são um complexo de ecossistemas </w:t>
      </w:r>
      <w:r w:rsidDel="00000000" w:rsidR="00000000" w:rsidRPr="00000000">
        <w:rPr>
          <w:sz w:val="20"/>
          <w:szCs w:val="20"/>
          <w:rtl w:val="0"/>
        </w:rPr>
        <w:t xml:space="preserve">mesofóticos</w:t>
      </w:r>
      <w:r w:rsidDel="00000000" w:rsidR="00000000" w:rsidRPr="00000000">
        <w:rPr>
          <w:sz w:val="20"/>
          <w:szCs w:val="20"/>
          <w:rtl w:val="0"/>
        </w:rPr>
        <w:t xml:space="preserve"> que se distribuem ao longo da costa norte do território brasileiro, cuja profundidade varia entre 70 e 220 metros, e sua extensão corresponde aos estados do Pará e Amapá e uma pequena parte da Guiana Francesa (Moura </w:t>
      </w:r>
      <w:r w:rsidDel="00000000" w:rsidR="00000000" w:rsidRPr="00000000">
        <w:rPr>
          <w:i w:val="1"/>
          <w:sz w:val="20"/>
          <w:szCs w:val="20"/>
          <w:rtl w:val="0"/>
        </w:rPr>
        <w:t xml:space="preserve">et al.</w:t>
      </w:r>
      <w:r w:rsidDel="00000000" w:rsidR="00000000" w:rsidRPr="00000000">
        <w:rPr>
          <w:sz w:val="20"/>
          <w:szCs w:val="20"/>
          <w:rtl w:val="0"/>
        </w:rPr>
        <w:t xml:space="preserve">, 2016). São habitats formados principalmente por bancos de rodolitos, com dominância de esponjas, cnidários em sua maioria azooxantelados, e outros organismos primariamente heterotróficos, (Vale </w:t>
      </w:r>
      <w:r w:rsidDel="00000000" w:rsidR="00000000" w:rsidRPr="00000000">
        <w:rPr>
          <w:i w:val="1"/>
          <w:sz w:val="20"/>
          <w:szCs w:val="20"/>
          <w:rtl w:val="0"/>
        </w:rPr>
        <w:t xml:space="preserve">et al.</w:t>
      </w:r>
      <w:r w:rsidDel="00000000" w:rsidR="00000000" w:rsidRPr="00000000">
        <w:rPr>
          <w:sz w:val="20"/>
          <w:szCs w:val="20"/>
          <w:rtl w:val="0"/>
        </w:rPr>
        <w:t xml:space="preserve">, 2018). Sabe-se que a região é um importante corredor ecológico, que conecta recifes da américa central e sul, além de ser utilizada como berçário para diversas espécies de peixes e outros vertebrados, (Calegario </w:t>
      </w:r>
      <w:r w:rsidDel="00000000" w:rsidR="00000000" w:rsidRPr="00000000">
        <w:rPr>
          <w:i w:val="1"/>
          <w:sz w:val="20"/>
          <w:szCs w:val="20"/>
          <w:rtl w:val="0"/>
        </w:rPr>
        <w:t xml:space="preserve">et </w:t>
      </w:r>
      <w:r w:rsidDel="00000000" w:rsidR="00000000" w:rsidRPr="00000000">
        <w:rPr>
          <w:i w:val="1"/>
          <w:sz w:val="20"/>
          <w:szCs w:val="20"/>
          <w:rtl w:val="0"/>
        </w:rPr>
        <w:t xml:space="preserve">al</w:t>
      </w:r>
      <w:r w:rsidDel="00000000" w:rsidR="00000000" w:rsidRPr="00000000">
        <w:rPr>
          <w:sz w:val="20"/>
          <w:szCs w:val="20"/>
          <w:rtl w:val="0"/>
        </w:rPr>
        <w:t xml:space="preserve">., 2020).</w:t>
      </w:r>
    </w:p>
    <w:p w:rsidR="00000000" w:rsidDel="00000000" w:rsidP="00000000" w:rsidRDefault="00000000" w:rsidRPr="00000000" w14:paraId="00000010">
      <w:pPr>
        <w:spacing w:line="240" w:lineRule="auto"/>
        <w:ind w:firstLine="720"/>
        <w:jc w:val="both"/>
        <w:rPr>
          <w:sz w:val="20"/>
          <w:szCs w:val="20"/>
        </w:rPr>
      </w:pPr>
      <w:r w:rsidDel="00000000" w:rsidR="00000000" w:rsidRPr="00000000">
        <w:rPr>
          <w:sz w:val="20"/>
          <w:szCs w:val="20"/>
          <w:rtl w:val="0"/>
        </w:rPr>
        <w:t xml:space="preserve">Dentre as ameaças que assolam esses recifes, a pesca é uma prática que gera danos em longo prazo, pois os equipamentos utilizados retiram parte da fauna séssil bentônica, necessária para a manutenção do ecossistema, (Dias </w:t>
      </w:r>
      <w:r w:rsidDel="00000000" w:rsidR="00000000" w:rsidRPr="00000000">
        <w:rPr>
          <w:i w:val="1"/>
          <w:sz w:val="20"/>
          <w:szCs w:val="20"/>
          <w:rtl w:val="0"/>
        </w:rPr>
        <w:t xml:space="preserve">et al.</w:t>
      </w:r>
      <w:r w:rsidDel="00000000" w:rsidR="00000000" w:rsidRPr="00000000">
        <w:rPr>
          <w:sz w:val="20"/>
          <w:szCs w:val="20"/>
          <w:rtl w:val="0"/>
        </w:rPr>
        <w:t xml:space="preserve">, 2020). Comunidades de peixes recifais são mais diretamente afetadas, uma vez que ao menos 201 espécies foram identificadas em redes de emalhe de fundo e outros equipamentos de pesca, (Marceniuk, 2019). Além disso, não há aconselhamento de quais regiões deverão ser exploradas, e quais petrechos podem ser utilizados, (Araújo </w:t>
      </w:r>
      <w:r w:rsidDel="00000000" w:rsidR="00000000" w:rsidRPr="00000000">
        <w:rPr>
          <w:i w:val="1"/>
          <w:sz w:val="20"/>
          <w:szCs w:val="20"/>
          <w:rtl w:val="0"/>
        </w:rPr>
        <w:t xml:space="preserve">et al.</w:t>
      </w:r>
      <w:r w:rsidDel="00000000" w:rsidR="00000000" w:rsidRPr="00000000">
        <w:rPr>
          <w:sz w:val="20"/>
          <w:szCs w:val="20"/>
          <w:rtl w:val="0"/>
        </w:rPr>
        <w:t xml:space="preserve">, 2021).</w:t>
      </w:r>
    </w:p>
    <w:p w:rsidR="00000000" w:rsidDel="00000000" w:rsidP="00000000" w:rsidRDefault="00000000" w:rsidRPr="00000000" w14:paraId="00000011">
      <w:pPr>
        <w:spacing w:line="240" w:lineRule="auto"/>
        <w:ind w:firstLine="720"/>
        <w:jc w:val="both"/>
        <w:rPr>
          <w:sz w:val="20"/>
          <w:szCs w:val="20"/>
        </w:rPr>
      </w:pPr>
      <w:r w:rsidDel="00000000" w:rsidR="00000000" w:rsidRPr="00000000">
        <w:rPr>
          <w:sz w:val="20"/>
          <w:szCs w:val="20"/>
          <w:rtl w:val="0"/>
        </w:rPr>
        <w:t xml:space="preserve">No presente estudo, identificou-se organismos bentônicos sésseis (cnidários e poríferos) oriundos de pesca incidental nos recifes amazônicos, no intuito de estimar os impactos da pesca sobre as comunidade bentônicas sésseis, bem como de aumentar o conhecimento acerca de sua distribuição.</w:t>
      </w:r>
    </w:p>
    <w:p w:rsidR="00000000" w:rsidDel="00000000" w:rsidP="00000000" w:rsidRDefault="00000000" w:rsidRPr="00000000" w14:paraId="00000012">
      <w:pPr>
        <w:spacing w:line="240" w:lineRule="auto"/>
        <w:ind w:firstLine="720"/>
        <w:jc w:val="both"/>
        <w:rPr>
          <w:b w:val="1"/>
          <w:sz w:val="20"/>
          <w:szCs w:val="20"/>
        </w:rPr>
      </w:pPr>
      <w:r w:rsidDel="00000000" w:rsidR="00000000" w:rsidRPr="00000000">
        <w:rPr>
          <w:rtl w:val="0"/>
        </w:rPr>
      </w:r>
    </w:p>
    <w:p w:rsidR="00000000" w:rsidDel="00000000" w:rsidP="00000000" w:rsidRDefault="00000000" w:rsidRPr="00000000" w14:paraId="00000013">
      <w:pPr>
        <w:spacing w:line="240" w:lineRule="auto"/>
        <w:jc w:val="both"/>
        <w:rPr>
          <w:b w:val="1"/>
          <w:sz w:val="20"/>
          <w:szCs w:val="20"/>
        </w:rPr>
      </w:pPr>
      <w:r w:rsidDel="00000000" w:rsidR="00000000" w:rsidRPr="00000000">
        <w:rPr>
          <w:b w:val="1"/>
          <w:sz w:val="20"/>
          <w:szCs w:val="20"/>
          <w:rtl w:val="0"/>
        </w:rPr>
        <w:t xml:space="preserve">MATERIAL E MÉTODOS</w:t>
      </w:r>
    </w:p>
    <w:p w:rsidR="00000000" w:rsidDel="00000000" w:rsidP="00000000" w:rsidRDefault="00000000" w:rsidRPr="00000000" w14:paraId="00000014">
      <w:pPr>
        <w:tabs>
          <w:tab w:val="left" w:leader="none" w:pos="573"/>
        </w:tabs>
        <w:spacing w:line="240" w:lineRule="auto"/>
        <w:ind w:firstLine="566"/>
        <w:jc w:val="both"/>
        <w:rPr>
          <w:sz w:val="20"/>
          <w:szCs w:val="20"/>
        </w:rPr>
      </w:pPr>
      <w:r w:rsidDel="00000000" w:rsidR="00000000" w:rsidRPr="00000000">
        <w:rPr>
          <w:sz w:val="20"/>
          <w:szCs w:val="20"/>
          <w:rtl w:val="0"/>
        </w:rPr>
        <w:tab/>
        <w:t xml:space="preserve">Os dados analisados se baseiam em registros fotográficos feitos pelo CEPNOR  (Centro Nacional de Pesquisa e Conservação da Biodiversidade Marinha do Norte), um órgão do Instituto Chico Mendes de Conservação da Biodiversidade (ICMBio). Entre os anos de 2015 e 2021, observadores de bordo do CEPNOR </w:t>
      </w:r>
      <w:r w:rsidDel="00000000" w:rsidR="00000000" w:rsidRPr="00000000">
        <w:rPr>
          <w:sz w:val="20"/>
          <w:szCs w:val="20"/>
          <w:rtl w:val="0"/>
        </w:rPr>
        <w:t xml:space="preserve">monitoraram</w:t>
      </w:r>
      <w:r w:rsidDel="00000000" w:rsidR="00000000" w:rsidRPr="00000000">
        <w:rPr>
          <w:sz w:val="20"/>
          <w:szCs w:val="20"/>
          <w:rtl w:val="0"/>
        </w:rPr>
        <w:t xml:space="preserve"> incursões de pesca e </w:t>
      </w:r>
      <w:r w:rsidDel="00000000" w:rsidR="00000000" w:rsidRPr="00000000">
        <w:rPr>
          <w:sz w:val="20"/>
          <w:szCs w:val="20"/>
          <w:rtl w:val="0"/>
        </w:rPr>
        <w:t xml:space="preserve">registraram</w:t>
      </w:r>
      <w:r w:rsidDel="00000000" w:rsidR="00000000" w:rsidRPr="00000000">
        <w:rPr>
          <w:sz w:val="20"/>
          <w:szCs w:val="20"/>
          <w:rtl w:val="0"/>
        </w:rPr>
        <w:t xml:space="preserve"> a captura de diversos organismos bentônicos. Dada as limitações de espaço nas embarcações, não foi possível fixar e armazenar os organismos, apenas </w:t>
      </w:r>
      <w:r w:rsidDel="00000000" w:rsidR="00000000" w:rsidRPr="00000000">
        <w:rPr>
          <w:sz w:val="20"/>
          <w:szCs w:val="20"/>
          <w:rtl w:val="0"/>
        </w:rPr>
        <w:t xml:space="preserve">fotografá</w:t>
      </w:r>
      <w:r w:rsidDel="00000000" w:rsidR="00000000" w:rsidRPr="00000000">
        <w:rPr>
          <w:sz w:val="20"/>
          <w:szCs w:val="20"/>
          <w:rtl w:val="0"/>
        </w:rPr>
        <w:t xml:space="preserve">-los. Grande parte das estações de amostragem localizam-se ao largo dos estados dos Amapá e Pará. As fotografias são acompanhadas de informações sobre data, hora e respectivas coordenadas geográficas. Quatro petrechos foram registrados: Manzuá (armadilha fechada), redes de caçoeira (emalhe), arrasto sem tralha (arrasto simples) e arrasto de porta. É sabido que esses equipamentos são usados para a captura de peixes e crustáceos de interesse comercial (Costa </w:t>
      </w:r>
      <w:r w:rsidDel="00000000" w:rsidR="00000000" w:rsidRPr="00000000">
        <w:rPr>
          <w:i w:val="1"/>
          <w:sz w:val="20"/>
          <w:szCs w:val="20"/>
          <w:rtl w:val="0"/>
        </w:rPr>
        <w:t xml:space="preserve">et al.</w:t>
      </w:r>
      <w:r w:rsidDel="00000000" w:rsidR="00000000" w:rsidRPr="00000000">
        <w:rPr>
          <w:sz w:val="20"/>
          <w:szCs w:val="20"/>
          <w:rtl w:val="0"/>
        </w:rPr>
        <w:t xml:space="preserve">, 2018). Eles foram usados em dois tipos de substratos: Duro(rodolitos) e mole(inconsolidado). </w:t>
      </w:r>
    </w:p>
    <w:p w:rsidR="00000000" w:rsidDel="00000000" w:rsidP="00000000" w:rsidRDefault="00000000" w:rsidRPr="00000000" w14:paraId="00000015">
      <w:pPr>
        <w:tabs>
          <w:tab w:val="left" w:leader="none" w:pos="573"/>
        </w:tabs>
        <w:spacing w:line="240" w:lineRule="auto"/>
        <w:ind w:firstLine="566"/>
        <w:jc w:val="both"/>
        <w:rPr>
          <w:sz w:val="20"/>
          <w:szCs w:val="20"/>
        </w:rPr>
      </w:pPr>
      <w:r w:rsidDel="00000000" w:rsidR="00000000" w:rsidRPr="00000000">
        <w:rPr>
          <w:sz w:val="20"/>
          <w:szCs w:val="20"/>
          <w:rtl w:val="0"/>
        </w:rPr>
        <w:t xml:space="preserve">Nos cnidários, as identificações seguiram os trabalhos de Bayer (1983); Cairns (1979, 1986, 2000, 2001, 2007); </w:t>
      </w:r>
      <w:r w:rsidDel="00000000" w:rsidR="00000000" w:rsidRPr="00000000">
        <w:rPr>
          <w:sz w:val="20"/>
          <w:szCs w:val="20"/>
          <w:rtl w:val="0"/>
        </w:rPr>
        <w:t xml:space="preserve">Opresko</w:t>
      </w:r>
      <w:r w:rsidDel="00000000" w:rsidR="00000000" w:rsidRPr="00000000">
        <w:rPr>
          <w:sz w:val="20"/>
          <w:szCs w:val="20"/>
          <w:rtl w:val="0"/>
        </w:rPr>
        <w:t xml:space="preserve"> (2001, 2006); Millard (1975) e Migotto (1996). Para as esponjas, foi utilizado o </w:t>
      </w:r>
      <w:r w:rsidDel="00000000" w:rsidR="00000000" w:rsidRPr="00000000">
        <w:rPr>
          <w:sz w:val="20"/>
          <w:szCs w:val="20"/>
          <w:rtl w:val="0"/>
        </w:rPr>
        <w:t xml:space="preserve">Systema</w:t>
      </w:r>
      <w:r w:rsidDel="00000000" w:rsidR="00000000" w:rsidRPr="00000000">
        <w:rPr>
          <w:sz w:val="20"/>
          <w:szCs w:val="20"/>
          <w:rtl w:val="0"/>
        </w:rPr>
        <w:t xml:space="preserve"> Porifera (Hooper &amp; Van Soest, 2002; Morrow e Cárdenas 2015). Os mapas de distribuição foram construídos utilizando o </w:t>
      </w:r>
      <w:r w:rsidDel="00000000" w:rsidR="00000000" w:rsidRPr="00000000">
        <w:rPr>
          <w:i w:val="1"/>
          <w:sz w:val="20"/>
          <w:szCs w:val="20"/>
          <w:rtl w:val="0"/>
        </w:rPr>
        <w:t xml:space="preserve">software</w:t>
      </w:r>
      <w:r w:rsidDel="00000000" w:rsidR="00000000" w:rsidRPr="00000000">
        <w:rPr>
          <w:sz w:val="20"/>
          <w:szCs w:val="20"/>
          <w:rtl w:val="0"/>
        </w:rPr>
        <w:t xml:space="preserve"> QGIS (</w:t>
      </w:r>
      <w:hyperlink r:id="rId6">
        <w:r w:rsidDel="00000000" w:rsidR="00000000" w:rsidRPr="00000000">
          <w:rPr>
            <w:color w:val="1155cc"/>
            <w:sz w:val="20"/>
            <w:szCs w:val="20"/>
            <w:u w:val="single"/>
            <w:rtl w:val="0"/>
          </w:rPr>
          <w:t xml:space="preserve">http://www.qgis.org</w:t>
        </w:r>
      </w:hyperlink>
      <w:r w:rsidDel="00000000" w:rsidR="00000000" w:rsidRPr="00000000">
        <w:rPr>
          <w:sz w:val="20"/>
          <w:szCs w:val="20"/>
          <w:rtl w:val="0"/>
        </w:rPr>
        <w:t xml:space="preserve">). Através dos métodos, foi possível diferenciar com precisão cada tipo e comparar qualitativamente quais grupos foram mais afetados e quais estratégias de pesca foram mais prejudiciais para cada grupo. </w:t>
      </w:r>
    </w:p>
    <w:p w:rsidR="00000000" w:rsidDel="00000000" w:rsidP="00000000" w:rsidRDefault="00000000" w:rsidRPr="00000000" w14:paraId="00000016">
      <w:pPr>
        <w:spacing w:line="240" w:lineRule="auto"/>
        <w:jc w:val="both"/>
        <w:rPr>
          <w:b w:val="1"/>
          <w:sz w:val="20"/>
          <w:szCs w:val="20"/>
        </w:rPr>
      </w:pPr>
      <w:r w:rsidDel="00000000" w:rsidR="00000000" w:rsidRPr="00000000">
        <w:rPr>
          <w:rtl w:val="0"/>
        </w:rPr>
      </w:r>
    </w:p>
    <w:p w:rsidR="00000000" w:rsidDel="00000000" w:rsidP="00000000" w:rsidRDefault="00000000" w:rsidRPr="00000000" w14:paraId="00000017">
      <w:pPr>
        <w:spacing w:line="240" w:lineRule="auto"/>
        <w:jc w:val="both"/>
        <w:rPr>
          <w:b w:val="1"/>
          <w:sz w:val="20"/>
          <w:szCs w:val="20"/>
        </w:rPr>
      </w:pPr>
      <w:r w:rsidDel="00000000" w:rsidR="00000000" w:rsidRPr="00000000">
        <w:rPr>
          <w:b w:val="1"/>
          <w:sz w:val="20"/>
          <w:szCs w:val="20"/>
          <w:rtl w:val="0"/>
        </w:rPr>
        <w:t xml:space="preserve">RESULTADOS E DISCUSSÃO</w:t>
      </w:r>
      <w:r w:rsidDel="00000000" w:rsidR="00000000" w:rsidRPr="00000000">
        <w:rPr>
          <w:sz w:val="20"/>
          <w:szCs w:val="20"/>
          <w:rtl w:val="0"/>
        </w:rPr>
        <w:t xml:space="preserve">  </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18">
      <w:pPr>
        <w:spacing w:line="240" w:lineRule="auto"/>
        <w:ind w:firstLine="567"/>
        <w:jc w:val="both"/>
        <w:rPr>
          <w:sz w:val="20"/>
          <w:szCs w:val="20"/>
        </w:rPr>
      </w:pPr>
      <w:r w:rsidDel="00000000" w:rsidR="00000000" w:rsidRPr="00000000">
        <w:rPr>
          <w:sz w:val="20"/>
          <w:szCs w:val="20"/>
          <w:rtl w:val="0"/>
        </w:rPr>
        <w:t xml:space="preserve">Ao todo 83 estações de pesca foram registradas, das quais foram identificados 75 táxons cnidários e 29 poríferos. Dentre os </w:t>
      </w:r>
      <w:r w:rsidDel="00000000" w:rsidR="00000000" w:rsidRPr="00000000">
        <w:rPr>
          <w:sz w:val="20"/>
          <w:szCs w:val="20"/>
          <w:rtl w:val="0"/>
        </w:rPr>
        <w:t xml:space="preserve">cnidários</w:t>
      </w:r>
      <w:r w:rsidDel="00000000" w:rsidR="00000000" w:rsidRPr="00000000">
        <w:rPr>
          <w:sz w:val="20"/>
          <w:szCs w:val="20"/>
          <w:rtl w:val="0"/>
        </w:rPr>
        <w:t xml:space="preserve">, 22,7% correspondem aos hexacorais, 24% octocorais, 48% hidróides da Ordem Leptothecata e 5,3% de hidrocorais da Anthoathecata. Nos poríferos, todos os registros pertencem à Classe Demospongiae, sendo 28 da Subclasse </w:t>
      </w:r>
      <w:r w:rsidDel="00000000" w:rsidR="00000000" w:rsidRPr="00000000">
        <w:rPr>
          <w:sz w:val="20"/>
          <w:szCs w:val="20"/>
          <w:rtl w:val="0"/>
        </w:rPr>
        <w:t xml:space="preserve">Heteroscleromorpha</w:t>
      </w:r>
      <w:r w:rsidDel="00000000" w:rsidR="00000000" w:rsidRPr="00000000">
        <w:rPr>
          <w:sz w:val="20"/>
          <w:szCs w:val="20"/>
          <w:rtl w:val="0"/>
        </w:rPr>
        <w:t xml:space="preserve"> e um da Verongimorpha. </w:t>
      </w:r>
    </w:p>
    <w:p w:rsidR="00000000" w:rsidDel="00000000" w:rsidP="00000000" w:rsidRDefault="00000000" w:rsidRPr="00000000" w14:paraId="00000019">
      <w:pPr>
        <w:spacing w:line="240" w:lineRule="auto"/>
        <w:ind w:firstLine="567"/>
        <w:jc w:val="both"/>
        <w:rPr>
          <w:sz w:val="20"/>
          <w:szCs w:val="20"/>
        </w:rPr>
      </w:pPr>
      <w:r w:rsidDel="00000000" w:rsidR="00000000" w:rsidRPr="00000000">
        <w:rPr>
          <w:sz w:val="20"/>
          <w:szCs w:val="20"/>
          <w:rtl w:val="0"/>
        </w:rPr>
        <w:t xml:space="preserve">O manzuá fez mais capturas(</w:t>
      </w:r>
      <w:r w:rsidDel="00000000" w:rsidR="00000000" w:rsidRPr="00000000">
        <w:rPr>
          <w:b w:val="1"/>
          <w:sz w:val="20"/>
          <w:szCs w:val="20"/>
          <w:rtl w:val="0"/>
        </w:rPr>
        <w:t xml:space="preserve">fig 1</w:t>
      </w:r>
      <w:r w:rsidDel="00000000" w:rsidR="00000000" w:rsidRPr="00000000">
        <w:rPr>
          <w:sz w:val="20"/>
          <w:szCs w:val="20"/>
          <w:rtl w:val="0"/>
        </w:rPr>
        <w:t xml:space="preserve">)(40 cnidários e 8 poríferos), a rede de caçoeira totalizou 37 capturas, sendo grande parte delas de corais verdadeiros e as redes de fundo (arrasto sem tralha e de fundo) capturaram maior quantidade de poríferos totalizando 19 registros.</w:t>
      </w:r>
    </w:p>
    <w:p w:rsidR="00000000" w:rsidDel="00000000" w:rsidP="00000000" w:rsidRDefault="00000000" w:rsidRPr="00000000" w14:paraId="0000001A">
      <w:pPr>
        <w:spacing w:line="240" w:lineRule="auto"/>
        <w:jc w:val="center"/>
        <w:rPr>
          <w:sz w:val="20"/>
          <w:szCs w:val="20"/>
        </w:rPr>
      </w:pPr>
      <w:r w:rsidDel="00000000" w:rsidR="00000000" w:rsidRPr="00000000">
        <w:rPr>
          <w:sz w:val="20"/>
          <w:szCs w:val="20"/>
        </w:rPr>
        <w:drawing>
          <wp:inline distB="114300" distT="114300" distL="114300" distR="114300">
            <wp:extent cx="5530215" cy="3215241"/>
            <wp:effectExtent b="0" l="0" r="0" t="0"/>
            <wp:docPr id="1"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530215" cy="3215241"/>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line="240" w:lineRule="auto"/>
        <w:jc w:val="center"/>
        <w:rPr>
          <w:sz w:val="20"/>
          <w:szCs w:val="20"/>
        </w:rPr>
      </w:pPr>
      <w:r w:rsidDel="00000000" w:rsidR="00000000" w:rsidRPr="00000000">
        <w:rPr>
          <w:sz w:val="20"/>
          <w:szCs w:val="20"/>
          <w:rtl w:val="0"/>
        </w:rPr>
        <w:t xml:space="preserve">Figura 1. Localização, fotografias </w:t>
      </w:r>
      <w:r w:rsidDel="00000000" w:rsidR="00000000" w:rsidRPr="00000000">
        <w:rPr>
          <w:i w:val="1"/>
          <w:sz w:val="20"/>
          <w:szCs w:val="20"/>
          <w:rtl w:val="0"/>
        </w:rPr>
        <w:t xml:space="preserve">in situ </w:t>
      </w:r>
      <w:r w:rsidDel="00000000" w:rsidR="00000000" w:rsidRPr="00000000">
        <w:rPr>
          <w:sz w:val="20"/>
          <w:szCs w:val="20"/>
          <w:rtl w:val="0"/>
        </w:rPr>
        <w:t xml:space="preserve">e relação de capturas de invertebrados bentônicos sésseis nos recifes amazônicos.</w:t>
      </w:r>
    </w:p>
    <w:p w:rsidR="00000000" w:rsidDel="00000000" w:rsidP="00000000" w:rsidRDefault="00000000" w:rsidRPr="00000000" w14:paraId="0000001C">
      <w:pPr>
        <w:spacing w:line="240" w:lineRule="auto"/>
        <w:jc w:val="center"/>
        <w:rPr>
          <w:sz w:val="20"/>
          <w:szCs w:val="20"/>
        </w:rPr>
      </w:pPr>
      <w:r w:rsidDel="00000000" w:rsidR="00000000" w:rsidRPr="00000000">
        <w:rPr>
          <w:rtl w:val="0"/>
        </w:rPr>
      </w:r>
    </w:p>
    <w:p w:rsidR="00000000" w:rsidDel="00000000" w:rsidP="00000000" w:rsidRDefault="00000000" w:rsidRPr="00000000" w14:paraId="0000001D">
      <w:pPr>
        <w:spacing w:line="240" w:lineRule="auto"/>
        <w:ind w:firstLine="720"/>
        <w:jc w:val="both"/>
        <w:rPr>
          <w:sz w:val="20"/>
          <w:szCs w:val="20"/>
        </w:rPr>
      </w:pPr>
      <w:r w:rsidDel="00000000" w:rsidR="00000000" w:rsidRPr="00000000">
        <w:rPr>
          <w:sz w:val="20"/>
          <w:szCs w:val="20"/>
          <w:rtl w:val="0"/>
        </w:rPr>
        <w:t xml:space="preserve">Nos cnidários as identificações correspondem às registradas anteriormente (Cordeiro </w:t>
      </w:r>
      <w:r w:rsidDel="00000000" w:rsidR="00000000" w:rsidRPr="00000000">
        <w:rPr>
          <w:i w:val="1"/>
          <w:sz w:val="20"/>
          <w:szCs w:val="20"/>
          <w:rtl w:val="0"/>
        </w:rPr>
        <w:t xml:space="preserve">et al.</w:t>
      </w:r>
      <w:r w:rsidDel="00000000" w:rsidR="00000000" w:rsidRPr="00000000">
        <w:rPr>
          <w:sz w:val="20"/>
          <w:szCs w:val="20"/>
          <w:rtl w:val="0"/>
        </w:rPr>
        <w:t xml:space="preserve">, 2015), com a adição do hidrocoral (Anthoathecata) </w:t>
      </w:r>
      <w:r w:rsidDel="00000000" w:rsidR="00000000" w:rsidRPr="00000000">
        <w:rPr>
          <w:i w:val="1"/>
          <w:sz w:val="20"/>
          <w:szCs w:val="20"/>
          <w:rtl w:val="0"/>
        </w:rPr>
        <w:t xml:space="preserve">Stylaster roseus </w:t>
      </w:r>
      <w:r w:rsidDel="00000000" w:rsidR="00000000" w:rsidRPr="00000000">
        <w:rPr>
          <w:sz w:val="20"/>
          <w:szCs w:val="20"/>
          <w:rtl w:val="0"/>
        </w:rPr>
        <w:t xml:space="preserve">(Pallas, 1766). Nos poríferos, apesar de existirem estudos, pouco se sabe acerca da diversidade desses organismos (Collette e </w:t>
      </w:r>
      <w:r w:rsidDel="00000000" w:rsidR="00000000" w:rsidRPr="00000000">
        <w:rPr>
          <w:sz w:val="20"/>
          <w:szCs w:val="20"/>
          <w:rtl w:val="0"/>
        </w:rPr>
        <w:t xml:space="preserve">Ruetzler</w:t>
      </w:r>
      <w:r w:rsidDel="00000000" w:rsidR="00000000" w:rsidRPr="00000000">
        <w:rPr>
          <w:sz w:val="20"/>
          <w:szCs w:val="20"/>
          <w:rtl w:val="0"/>
        </w:rPr>
        <w:t xml:space="preserve">, 1977), e ao todo 7 táxons (</w:t>
      </w:r>
      <w:r w:rsidDel="00000000" w:rsidR="00000000" w:rsidRPr="00000000">
        <w:rPr>
          <w:i w:val="1"/>
          <w:sz w:val="20"/>
          <w:szCs w:val="20"/>
          <w:rtl w:val="0"/>
        </w:rPr>
        <w:t xml:space="preserve">Aulospongus trirhabdostylus, Echinodictyum dendroides, Ptilocaulis walpersii, Haliclona (Reniera), Clathria nicoleae, Agelas sventres, Biemna caribea</w:t>
      </w:r>
      <w:r w:rsidDel="00000000" w:rsidR="00000000" w:rsidRPr="00000000">
        <w:rPr>
          <w:sz w:val="20"/>
          <w:szCs w:val="20"/>
          <w:rtl w:val="0"/>
        </w:rPr>
        <w:t xml:space="preserve">)</w:t>
      </w:r>
      <w:r w:rsidDel="00000000" w:rsidR="00000000" w:rsidRPr="00000000">
        <w:rPr>
          <w:i w:val="1"/>
          <w:sz w:val="20"/>
          <w:szCs w:val="20"/>
          <w:rtl w:val="0"/>
        </w:rPr>
        <w:t xml:space="preserve"> </w:t>
      </w:r>
      <w:r w:rsidDel="00000000" w:rsidR="00000000" w:rsidRPr="00000000">
        <w:rPr>
          <w:sz w:val="20"/>
          <w:szCs w:val="20"/>
          <w:rtl w:val="0"/>
        </w:rPr>
        <w:t xml:space="preserve">e 1 gênero (</w:t>
      </w:r>
      <w:r w:rsidDel="00000000" w:rsidR="00000000" w:rsidRPr="00000000">
        <w:rPr>
          <w:i w:val="1"/>
          <w:sz w:val="20"/>
          <w:szCs w:val="20"/>
          <w:rtl w:val="0"/>
        </w:rPr>
        <w:t xml:space="preserve">Geodia</w:t>
      </w:r>
      <w:r w:rsidDel="00000000" w:rsidR="00000000" w:rsidRPr="00000000">
        <w:rPr>
          <w:sz w:val="20"/>
          <w:szCs w:val="20"/>
          <w:rtl w:val="0"/>
        </w:rPr>
        <w:t xml:space="preserve">) tiveram sua distribuição ampliada para os recifes amazônicos. </w:t>
      </w:r>
    </w:p>
    <w:p w:rsidR="00000000" w:rsidDel="00000000" w:rsidP="00000000" w:rsidRDefault="00000000" w:rsidRPr="00000000" w14:paraId="0000001E">
      <w:pPr>
        <w:spacing w:line="240" w:lineRule="auto"/>
        <w:ind w:firstLine="720"/>
        <w:jc w:val="both"/>
        <w:rPr>
          <w:sz w:val="20"/>
          <w:szCs w:val="20"/>
        </w:rPr>
      </w:pPr>
      <w:r w:rsidDel="00000000" w:rsidR="00000000" w:rsidRPr="00000000">
        <w:rPr>
          <w:sz w:val="20"/>
          <w:szCs w:val="20"/>
          <w:rtl w:val="0"/>
        </w:rPr>
        <w:t xml:space="preserve">O manzuá é o mais repetido, pois é usado na pesca do Pargo (</w:t>
      </w:r>
      <w:r w:rsidDel="00000000" w:rsidR="00000000" w:rsidRPr="00000000">
        <w:rPr>
          <w:i w:val="1"/>
          <w:sz w:val="20"/>
          <w:szCs w:val="20"/>
          <w:rtl w:val="0"/>
        </w:rPr>
        <w:t xml:space="preserve">Lutjanus purpureus </w:t>
      </w:r>
      <w:r w:rsidDel="00000000" w:rsidR="00000000" w:rsidRPr="00000000">
        <w:rPr>
          <w:color w:val="222222"/>
          <w:sz w:val="20"/>
          <w:szCs w:val="20"/>
          <w:highlight w:val="white"/>
          <w:rtl w:val="0"/>
        </w:rPr>
        <w:t xml:space="preserve">Poey, 1876</w:t>
      </w:r>
      <w:r w:rsidDel="00000000" w:rsidR="00000000" w:rsidRPr="00000000">
        <w:rPr>
          <w:i w:val="1"/>
          <w:sz w:val="20"/>
          <w:szCs w:val="20"/>
          <w:rtl w:val="0"/>
        </w:rPr>
        <w:t xml:space="preserve">)</w:t>
      </w:r>
      <w:r w:rsidDel="00000000" w:rsidR="00000000" w:rsidRPr="00000000">
        <w:rPr>
          <w:sz w:val="20"/>
          <w:szCs w:val="20"/>
          <w:rtl w:val="0"/>
        </w:rPr>
        <w:t xml:space="preserve">, apesar da </w:t>
      </w:r>
      <w:r w:rsidDel="00000000" w:rsidR="00000000" w:rsidRPr="00000000">
        <w:rPr>
          <w:sz w:val="20"/>
          <w:szCs w:val="20"/>
          <w:rtl w:val="0"/>
        </w:rPr>
        <w:t xml:space="preserve">linha </w:t>
      </w:r>
      <w:r w:rsidDel="00000000" w:rsidR="00000000" w:rsidRPr="00000000">
        <w:rPr>
          <w:sz w:val="20"/>
          <w:szCs w:val="20"/>
          <w:rtl w:val="0"/>
        </w:rPr>
        <w:t xml:space="preserve">pargueira</w:t>
      </w:r>
      <w:r w:rsidDel="00000000" w:rsidR="00000000" w:rsidRPr="00000000">
        <w:rPr>
          <w:sz w:val="20"/>
          <w:szCs w:val="20"/>
          <w:rtl w:val="0"/>
        </w:rPr>
        <w:t xml:space="preserve"> existir e ser menos danosa (Costa </w:t>
      </w:r>
      <w:r w:rsidDel="00000000" w:rsidR="00000000" w:rsidRPr="00000000">
        <w:rPr>
          <w:i w:val="1"/>
          <w:sz w:val="20"/>
          <w:szCs w:val="20"/>
          <w:rtl w:val="0"/>
        </w:rPr>
        <w:t xml:space="preserve">et al.</w:t>
      </w:r>
      <w:r w:rsidDel="00000000" w:rsidR="00000000" w:rsidRPr="00000000">
        <w:rPr>
          <w:sz w:val="20"/>
          <w:szCs w:val="20"/>
          <w:rtl w:val="0"/>
        </w:rPr>
        <w:t xml:space="preserve">, 2018). Nas redes de fundo, sabe-se que seu uso diminui a diversidade, e afeta ecossistemas mais profundos de forma duradoura, assim como a rede de caçoeira, conhecida pela captura de organismos bentônicos e seu uso é desaconselhado (Muniz, 2005; Dias </w:t>
      </w:r>
      <w:r w:rsidDel="00000000" w:rsidR="00000000" w:rsidRPr="00000000">
        <w:rPr>
          <w:i w:val="1"/>
          <w:sz w:val="20"/>
          <w:szCs w:val="20"/>
          <w:rtl w:val="0"/>
        </w:rPr>
        <w:t xml:space="preserve">et al.</w:t>
      </w:r>
      <w:r w:rsidDel="00000000" w:rsidR="00000000" w:rsidRPr="00000000">
        <w:rPr>
          <w:sz w:val="20"/>
          <w:szCs w:val="20"/>
          <w:rtl w:val="0"/>
        </w:rPr>
        <w:t xml:space="preserve">, 2020).</w:t>
      </w:r>
    </w:p>
    <w:p w:rsidR="00000000" w:rsidDel="00000000" w:rsidP="00000000" w:rsidRDefault="00000000" w:rsidRPr="00000000" w14:paraId="0000001F">
      <w:pPr>
        <w:spacing w:line="240" w:lineRule="auto"/>
        <w:ind w:firstLine="720"/>
        <w:jc w:val="both"/>
        <w:rPr>
          <w:sz w:val="20"/>
          <w:szCs w:val="20"/>
        </w:rPr>
      </w:pPr>
      <w:r w:rsidDel="00000000" w:rsidR="00000000" w:rsidRPr="00000000">
        <w:rPr>
          <w:rtl w:val="0"/>
        </w:rPr>
      </w:r>
    </w:p>
    <w:p w:rsidR="00000000" w:rsidDel="00000000" w:rsidP="00000000" w:rsidRDefault="00000000" w:rsidRPr="00000000" w14:paraId="00000020">
      <w:pPr>
        <w:spacing w:line="240" w:lineRule="auto"/>
        <w:jc w:val="both"/>
        <w:rPr>
          <w:b w:val="1"/>
          <w:sz w:val="20"/>
          <w:szCs w:val="20"/>
        </w:rPr>
      </w:pPr>
      <w:r w:rsidDel="00000000" w:rsidR="00000000" w:rsidRPr="00000000">
        <w:rPr>
          <w:b w:val="1"/>
          <w:sz w:val="20"/>
          <w:szCs w:val="20"/>
          <w:rtl w:val="0"/>
        </w:rPr>
        <w:t xml:space="preserve">CONCLUSÕES</w:t>
      </w:r>
    </w:p>
    <w:p w:rsidR="00000000" w:rsidDel="00000000" w:rsidP="00000000" w:rsidRDefault="00000000" w:rsidRPr="00000000" w14:paraId="00000021">
      <w:pPr>
        <w:spacing w:line="240" w:lineRule="auto"/>
        <w:ind w:firstLine="720"/>
        <w:jc w:val="both"/>
        <w:rPr>
          <w:sz w:val="20"/>
          <w:szCs w:val="20"/>
        </w:rPr>
      </w:pPr>
      <w:r w:rsidDel="00000000" w:rsidR="00000000" w:rsidRPr="00000000">
        <w:rPr>
          <w:sz w:val="20"/>
          <w:szCs w:val="20"/>
          <w:rtl w:val="0"/>
        </w:rPr>
        <w:t xml:space="preserve">Estudos como este, mostram que a região abriga uma diversidade ainda não compreendida em sua totalidade, o que reforça a necessidade de estudos de base, para ajudar a elucidar questões sobre status de conservação, distribuição e uso biotecnológico de espécies e recursos naturais. Tais informações são, portanto, essenciais para o estabelecimento de planos de manejo.</w:t>
      </w:r>
    </w:p>
    <w:p w:rsidR="00000000" w:rsidDel="00000000" w:rsidP="00000000" w:rsidRDefault="00000000" w:rsidRPr="00000000" w14:paraId="00000022">
      <w:pPr>
        <w:spacing w:line="240" w:lineRule="auto"/>
        <w:ind w:firstLine="567"/>
        <w:jc w:val="both"/>
        <w:rPr>
          <w:sz w:val="20"/>
          <w:szCs w:val="20"/>
        </w:rPr>
      </w:pPr>
      <w:r w:rsidDel="00000000" w:rsidR="00000000" w:rsidRPr="00000000">
        <w:rPr>
          <w:sz w:val="20"/>
          <w:szCs w:val="20"/>
          <w:rtl w:val="0"/>
        </w:rPr>
        <w:t xml:space="preserve">De forma paralela, o volume de registros de pesca incidental demonstra que é necessário regulamentar e fiscalizar </w:t>
      </w:r>
      <w:r w:rsidDel="00000000" w:rsidR="00000000" w:rsidRPr="00000000">
        <w:rPr>
          <w:sz w:val="20"/>
          <w:szCs w:val="20"/>
          <w:rtl w:val="0"/>
        </w:rPr>
        <w:t xml:space="preserve">petrechos</w:t>
      </w:r>
      <w:r w:rsidDel="00000000" w:rsidR="00000000" w:rsidRPr="00000000">
        <w:rPr>
          <w:sz w:val="20"/>
          <w:szCs w:val="20"/>
          <w:rtl w:val="0"/>
        </w:rPr>
        <w:t xml:space="preserve"> de pesca passíveis de uso na região, visando aumento da eficiência da prática e diminuir danos aos ecossistemas amazônicos, que em longo prazo podem comprometer sua saúde. . </w:t>
      </w:r>
    </w:p>
    <w:p w:rsidR="00000000" w:rsidDel="00000000" w:rsidP="00000000" w:rsidRDefault="00000000" w:rsidRPr="00000000" w14:paraId="00000023">
      <w:pPr>
        <w:spacing w:line="240" w:lineRule="auto"/>
        <w:ind w:firstLine="567"/>
        <w:jc w:val="both"/>
        <w:rPr>
          <w:sz w:val="20"/>
          <w:szCs w:val="20"/>
        </w:rPr>
      </w:pPr>
      <w:r w:rsidDel="00000000" w:rsidR="00000000" w:rsidRPr="00000000">
        <w:rPr>
          <w:rtl w:val="0"/>
        </w:rPr>
      </w:r>
    </w:p>
    <w:p w:rsidR="00000000" w:rsidDel="00000000" w:rsidP="00000000" w:rsidRDefault="00000000" w:rsidRPr="00000000" w14:paraId="00000024">
      <w:pPr>
        <w:spacing w:line="240" w:lineRule="auto"/>
        <w:jc w:val="both"/>
        <w:rPr>
          <w:b w:val="1"/>
          <w:sz w:val="20"/>
          <w:szCs w:val="20"/>
        </w:rPr>
      </w:pPr>
      <w:r w:rsidDel="00000000" w:rsidR="00000000" w:rsidRPr="00000000">
        <w:rPr>
          <w:b w:val="1"/>
          <w:sz w:val="20"/>
          <w:szCs w:val="20"/>
          <w:rtl w:val="0"/>
        </w:rPr>
        <w:t xml:space="preserve">REFERÊNCIAS </w:t>
      </w:r>
    </w:p>
    <w:p w:rsidR="00000000" w:rsidDel="00000000" w:rsidP="00000000" w:rsidRDefault="00000000" w:rsidRPr="00000000" w14:paraId="00000025">
      <w:pPr>
        <w:spacing w:line="240" w:lineRule="auto"/>
        <w:jc w:val="both"/>
        <w:rPr>
          <w:sz w:val="20"/>
          <w:szCs w:val="20"/>
        </w:rPr>
      </w:pPr>
      <w:r w:rsidDel="00000000" w:rsidR="00000000" w:rsidRPr="00000000">
        <w:rPr>
          <w:color w:val="222222"/>
          <w:sz w:val="20"/>
          <w:szCs w:val="20"/>
          <w:highlight w:val="white"/>
          <w:rtl w:val="0"/>
        </w:rPr>
        <w:t xml:space="preserve">A</w:t>
      </w:r>
      <w:r w:rsidDel="00000000" w:rsidR="00000000" w:rsidRPr="00000000">
        <w:rPr>
          <w:sz w:val="20"/>
          <w:szCs w:val="20"/>
          <w:highlight w:val="white"/>
          <w:rtl w:val="0"/>
        </w:rPr>
        <w:t xml:space="preserve">raujo, L. S., Magdalena, U. R., Louzada, T. S., Salomon, P. S., Moraes, F. C., Ferreira, B. P., ... &amp; Moura, R. L. 2021. Growing industrialization and poor conservation planning challenge natural resources' management in the Amazon Shelf off Brazil. Marine Policy, 128, 104465.</w:t>
      </w:r>
      <w:r w:rsidDel="00000000" w:rsidR="00000000" w:rsidRPr="00000000">
        <w:rPr>
          <w:rtl w:val="0"/>
        </w:rPr>
      </w:r>
    </w:p>
    <w:p w:rsidR="00000000" w:rsidDel="00000000" w:rsidP="00000000" w:rsidRDefault="00000000" w:rsidRPr="00000000" w14:paraId="00000026">
      <w:pPr>
        <w:spacing w:line="240" w:lineRule="auto"/>
        <w:jc w:val="both"/>
        <w:rPr>
          <w:sz w:val="20"/>
          <w:szCs w:val="20"/>
        </w:rPr>
      </w:pPr>
      <w:r w:rsidDel="00000000" w:rsidR="00000000" w:rsidRPr="00000000">
        <w:rPr>
          <w:sz w:val="20"/>
          <w:szCs w:val="20"/>
          <w:rtl w:val="0"/>
        </w:rPr>
        <w:t xml:space="preserve">Cairns, S.D. 1979. The deep-water Scleractinia of the Caribbean Sea and adjacent waters. Studies on the Fauna of Curaçao and other Caribbean Islands, 57(1), 1–341.</w:t>
      </w:r>
    </w:p>
    <w:p w:rsidR="00000000" w:rsidDel="00000000" w:rsidP="00000000" w:rsidRDefault="00000000" w:rsidRPr="00000000" w14:paraId="00000027">
      <w:pPr>
        <w:spacing w:line="240" w:lineRule="auto"/>
        <w:jc w:val="both"/>
        <w:rPr>
          <w:sz w:val="20"/>
          <w:szCs w:val="20"/>
        </w:rPr>
      </w:pPr>
      <w:r w:rsidDel="00000000" w:rsidR="00000000" w:rsidRPr="00000000">
        <w:rPr>
          <w:sz w:val="20"/>
          <w:szCs w:val="20"/>
          <w:rtl w:val="0"/>
        </w:rPr>
        <w:t xml:space="preserve">Cairns, S. D. 1986. A revision of the northwest Atlantic Stylasteridae (Coelenterata: Hydrozoa).</w:t>
      </w:r>
    </w:p>
    <w:p w:rsidR="00000000" w:rsidDel="00000000" w:rsidP="00000000" w:rsidRDefault="00000000" w:rsidRPr="00000000" w14:paraId="00000028">
      <w:pPr>
        <w:spacing w:line="240" w:lineRule="auto"/>
        <w:jc w:val="both"/>
        <w:rPr>
          <w:sz w:val="20"/>
          <w:szCs w:val="20"/>
        </w:rPr>
      </w:pPr>
      <w:r w:rsidDel="00000000" w:rsidR="00000000" w:rsidRPr="00000000">
        <w:rPr>
          <w:sz w:val="20"/>
          <w:szCs w:val="20"/>
          <w:rtl w:val="0"/>
        </w:rPr>
        <w:t xml:space="preserve">Cairns, S.D. 2000. A revision of the Shallow-water Azooxanthellate Scleractinia of the Western Atlantic. Studies on the Natural History of the Caribbean Region, 75(1), 1–192.</w:t>
      </w:r>
    </w:p>
    <w:p w:rsidR="00000000" w:rsidDel="00000000" w:rsidP="00000000" w:rsidRDefault="00000000" w:rsidRPr="00000000" w14:paraId="00000029">
      <w:pPr>
        <w:spacing w:line="240" w:lineRule="auto"/>
        <w:jc w:val="both"/>
        <w:rPr>
          <w:sz w:val="20"/>
          <w:szCs w:val="20"/>
        </w:rPr>
      </w:pPr>
      <w:r w:rsidDel="00000000" w:rsidR="00000000" w:rsidRPr="00000000">
        <w:rPr>
          <w:sz w:val="20"/>
          <w:szCs w:val="20"/>
          <w:rtl w:val="0"/>
        </w:rPr>
        <w:t xml:space="preserve">Cairns, S. D. 2001. Studies on western Atlantic Octocorallia (Coelenterata: Anthozoa) Part 1: The genus Chrysogorgia Duchassaing &amp; Michelotti, 1864. Proceedings of the Biological Society of Washington.</w:t>
      </w:r>
    </w:p>
    <w:p w:rsidR="00000000" w:rsidDel="00000000" w:rsidP="00000000" w:rsidRDefault="00000000" w:rsidRPr="00000000" w14:paraId="0000002A">
      <w:pPr>
        <w:spacing w:line="240" w:lineRule="auto"/>
        <w:jc w:val="both"/>
        <w:rPr>
          <w:sz w:val="20"/>
          <w:szCs w:val="20"/>
        </w:rPr>
      </w:pPr>
      <w:r w:rsidDel="00000000" w:rsidR="00000000" w:rsidRPr="00000000">
        <w:rPr>
          <w:sz w:val="20"/>
          <w:szCs w:val="20"/>
          <w:rtl w:val="0"/>
        </w:rPr>
        <w:t xml:space="preserve">Cairns, S. D. 2007. Deep-water corals: an overview with special reference to diversity and distribution of deep-water scleractinian corals. Bulletin of marine Science, 81(3), 311-322.</w:t>
      </w:r>
    </w:p>
    <w:p w:rsidR="00000000" w:rsidDel="00000000" w:rsidP="00000000" w:rsidRDefault="00000000" w:rsidRPr="00000000" w14:paraId="0000002B">
      <w:pPr>
        <w:spacing w:line="240" w:lineRule="auto"/>
        <w:jc w:val="both"/>
        <w:rPr>
          <w:color w:val="222222"/>
          <w:sz w:val="20"/>
          <w:szCs w:val="20"/>
          <w:highlight w:val="white"/>
        </w:rPr>
      </w:pPr>
      <w:r w:rsidDel="00000000" w:rsidR="00000000" w:rsidRPr="00000000">
        <w:rPr>
          <w:color w:val="222222"/>
          <w:sz w:val="20"/>
          <w:szCs w:val="20"/>
          <w:highlight w:val="white"/>
          <w:rtl w:val="0"/>
        </w:rPr>
        <w:t xml:space="preserve">Calegario, G., Freitas, L., Appolinario, L. R., Venas, T., Arruda, T., Otsuki, K., ... &amp; Thompson, F. L. 2021. Conserved rhodolith microbiomes across environmental gradients of the Great Amazon Reef. Science of the Total Environment, 760, 143411.</w:t>
      </w:r>
    </w:p>
    <w:p w:rsidR="00000000" w:rsidDel="00000000" w:rsidP="00000000" w:rsidRDefault="00000000" w:rsidRPr="00000000" w14:paraId="0000002C">
      <w:pPr>
        <w:spacing w:line="240" w:lineRule="auto"/>
        <w:jc w:val="both"/>
        <w:rPr>
          <w:color w:val="222222"/>
          <w:sz w:val="20"/>
          <w:szCs w:val="20"/>
          <w:highlight w:val="white"/>
        </w:rPr>
      </w:pPr>
      <w:r w:rsidDel="00000000" w:rsidR="00000000" w:rsidRPr="00000000">
        <w:rPr>
          <w:color w:val="222222"/>
          <w:sz w:val="20"/>
          <w:szCs w:val="20"/>
          <w:highlight w:val="white"/>
          <w:rtl w:val="0"/>
        </w:rPr>
        <w:t xml:space="preserve">Collette, B. B., &amp; Rützler, K. 1977. Reef fishes over sponge bottoms off the mouth of the Amazon River. In </w:t>
      </w:r>
      <w:r w:rsidDel="00000000" w:rsidR="00000000" w:rsidRPr="00000000">
        <w:rPr>
          <w:i w:val="1"/>
          <w:color w:val="222222"/>
          <w:sz w:val="20"/>
          <w:szCs w:val="20"/>
          <w:highlight w:val="white"/>
          <w:rtl w:val="0"/>
        </w:rPr>
        <w:t xml:space="preserve">Proceedings, Third International Coral Reef Symposium, Miami, Florida: University of Miami</w:t>
      </w:r>
      <w:r w:rsidDel="00000000" w:rsidR="00000000" w:rsidRPr="00000000">
        <w:rPr>
          <w:color w:val="222222"/>
          <w:sz w:val="20"/>
          <w:szCs w:val="20"/>
          <w:highlight w:val="white"/>
          <w:rtl w:val="0"/>
        </w:rPr>
        <w:t xml:space="preserve">.</w:t>
      </w:r>
    </w:p>
    <w:p w:rsidR="00000000" w:rsidDel="00000000" w:rsidP="00000000" w:rsidRDefault="00000000" w:rsidRPr="00000000" w14:paraId="0000002D">
      <w:pPr>
        <w:spacing w:line="240" w:lineRule="auto"/>
        <w:jc w:val="both"/>
        <w:rPr>
          <w:color w:val="222222"/>
          <w:sz w:val="20"/>
          <w:szCs w:val="20"/>
          <w:highlight w:val="white"/>
        </w:rPr>
      </w:pPr>
      <w:r w:rsidDel="00000000" w:rsidR="00000000" w:rsidRPr="00000000">
        <w:rPr>
          <w:color w:val="222222"/>
          <w:sz w:val="20"/>
          <w:szCs w:val="20"/>
          <w:highlight w:val="white"/>
          <w:rtl w:val="0"/>
        </w:rPr>
        <w:t xml:space="preserve">Cordeiro, R. T., Neves, B. M., Rosa-Filho, J. S., &amp; Pérez, C. D. 2015. Mesophotic coral ecosystems occur offshore and north of the Amazon River. Bulletin of Marine Science, 91(4), 491-510.</w:t>
      </w:r>
    </w:p>
    <w:p w:rsidR="00000000" w:rsidDel="00000000" w:rsidP="00000000" w:rsidRDefault="00000000" w:rsidRPr="00000000" w14:paraId="0000002E">
      <w:pPr>
        <w:spacing w:line="240" w:lineRule="auto"/>
        <w:jc w:val="both"/>
        <w:rPr>
          <w:sz w:val="20"/>
          <w:szCs w:val="20"/>
        </w:rPr>
      </w:pPr>
      <w:r w:rsidDel="00000000" w:rsidR="00000000" w:rsidRPr="00000000">
        <w:rPr>
          <w:color w:val="222222"/>
          <w:sz w:val="20"/>
          <w:szCs w:val="20"/>
          <w:highlight w:val="white"/>
          <w:rtl w:val="0"/>
        </w:rPr>
        <w:t xml:space="preserve">Costa, G. F., Holanda, F. C. A. F., Furtado Junior, I., &amp; Silva, J. A. 2018. A tecnologia de pesca industrial do pargo, Lutjanus purpureus (Poey, 1876) da frota bragantina-Pará-Brasil. Boletim Técnico Científico </w:t>
      </w:r>
      <w:r w:rsidDel="00000000" w:rsidR="00000000" w:rsidRPr="00000000">
        <w:rPr>
          <w:color w:val="222222"/>
          <w:sz w:val="20"/>
          <w:szCs w:val="20"/>
          <w:highlight w:val="white"/>
          <w:rtl w:val="0"/>
        </w:rPr>
        <w:t xml:space="preserve">Do CEPNOR</w:t>
      </w:r>
      <w:r w:rsidDel="00000000" w:rsidR="00000000" w:rsidRPr="00000000">
        <w:rPr>
          <w:color w:val="222222"/>
          <w:sz w:val="20"/>
          <w:szCs w:val="20"/>
          <w:highlight w:val="white"/>
          <w:rtl w:val="0"/>
        </w:rPr>
        <w:t xml:space="preserve">, 17(1), 21.</w:t>
      </w:r>
      <w:r w:rsidDel="00000000" w:rsidR="00000000" w:rsidRPr="00000000">
        <w:rPr>
          <w:rtl w:val="0"/>
        </w:rPr>
      </w:r>
    </w:p>
    <w:p w:rsidR="00000000" w:rsidDel="00000000" w:rsidP="00000000" w:rsidRDefault="00000000" w:rsidRPr="00000000" w14:paraId="0000002F">
      <w:pPr>
        <w:spacing w:line="240" w:lineRule="auto"/>
        <w:jc w:val="both"/>
        <w:rPr>
          <w:sz w:val="20"/>
          <w:szCs w:val="20"/>
        </w:rPr>
      </w:pPr>
      <w:r w:rsidDel="00000000" w:rsidR="00000000" w:rsidRPr="00000000">
        <w:rPr>
          <w:sz w:val="20"/>
          <w:szCs w:val="20"/>
          <w:rtl w:val="0"/>
        </w:rPr>
        <w:t xml:space="preserve">Dias, V., Oliveira, F., Boavida, J., Serrão, E. A., Gonçalves, J. M. S., &amp; Coelho, M. A. G. 2020. High Coral Bycatch in Bottom-Set Gillnet Coastal Fisheries Reveals Rich Coral Habitats in Southern Portugal. Frontiers in Marine Science, 7(November), 1–16.</w:t>
      </w:r>
    </w:p>
    <w:p w:rsidR="00000000" w:rsidDel="00000000" w:rsidP="00000000" w:rsidRDefault="00000000" w:rsidRPr="00000000" w14:paraId="00000030">
      <w:pPr>
        <w:spacing w:line="240" w:lineRule="auto"/>
        <w:jc w:val="both"/>
        <w:rPr>
          <w:sz w:val="20"/>
          <w:szCs w:val="20"/>
        </w:rPr>
      </w:pPr>
      <w:r w:rsidDel="00000000" w:rsidR="00000000" w:rsidRPr="00000000">
        <w:rPr>
          <w:sz w:val="20"/>
          <w:szCs w:val="20"/>
          <w:rtl w:val="0"/>
        </w:rPr>
        <w:t xml:space="preserve">Hooper, J. N., &amp; Van Soest, R. W. 2002. Systema Porifera. A guide to the classification of sponges. In Systema Porifera: A guide to the classification of sponges (pp. 1-7). Boston, MA: Springer Us.</w:t>
      </w:r>
    </w:p>
    <w:p w:rsidR="00000000" w:rsidDel="00000000" w:rsidP="00000000" w:rsidRDefault="00000000" w:rsidRPr="00000000" w14:paraId="00000031">
      <w:pPr>
        <w:spacing w:line="240" w:lineRule="auto"/>
        <w:jc w:val="both"/>
        <w:rPr>
          <w:sz w:val="20"/>
          <w:szCs w:val="20"/>
        </w:rPr>
      </w:pPr>
      <w:r w:rsidDel="00000000" w:rsidR="00000000" w:rsidRPr="00000000">
        <w:rPr>
          <w:sz w:val="20"/>
          <w:szCs w:val="20"/>
          <w:rtl w:val="0"/>
        </w:rPr>
        <w:t xml:space="preserve">Marceniuk, A. P., Rotundo, M. M., Caires, R. A., Cordeiro, A. P. B., Wosiacki, W. B., Oliveira, C., Souza-Serra, R. R. M. de, Romão-Júnior, J. G., Santos, W. C. R. dos, Reis, T. da S., Muniz, M. R., Cardoso, G. S., Ferrari, S., Klautau, A. G. C. de M., &amp; Montag, L. 2019. The bony fishes (Teleostei) caught by industrial trawlers off the Brazilian North coast, with insights into its conservation. Neotropical Ichthyology, 17(2), 1–28.</w:t>
      </w:r>
      <w:hyperlink r:id="rId8">
        <w:r w:rsidDel="00000000" w:rsidR="00000000" w:rsidRPr="00000000">
          <w:rPr>
            <w:sz w:val="20"/>
            <w:szCs w:val="20"/>
            <w:rtl w:val="0"/>
          </w:rPr>
          <w:t xml:space="preserve"> </w:t>
        </w:r>
      </w:hyperlink>
      <w:r w:rsidDel="00000000" w:rsidR="00000000" w:rsidRPr="00000000">
        <w:rPr>
          <w:rtl w:val="0"/>
        </w:rPr>
      </w:r>
    </w:p>
    <w:p w:rsidR="00000000" w:rsidDel="00000000" w:rsidP="00000000" w:rsidRDefault="00000000" w:rsidRPr="00000000" w14:paraId="00000032">
      <w:pPr>
        <w:spacing w:line="240" w:lineRule="auto"/>
        <w:jc w:val="both"/>
        <w:rPr>
          <w:sz w:val="20"/>
          <w:szCs w:val="20"/>
        </w:rPr>
      </w:pPr>
      <w:r w:rsidDel="00000000" w:rsidR="00000000" w:rsidRPr="00000000">
        <w:rPr>
          <w:sz w:val="20"/>
          <w:szCs w:val="20"/>
          <w:rtl w:val="0"/>
        </w:rPr>
        <w:t xml:space="preserve">Millard, N. A. H. 1975. Monograph on the Hydroida of southern Africa.</w:t>
      </w:r>
    </w:p>
    <w:p w:rsidR="00000000" w:rsidDel="00000000" w:rsidP="00000000" w:rsidRDefault="00000000" w:rsidRPr="00000000" w14:paraId="00000033">
      <w:pPr>
        <w:spacing w:line="240" w:lineRule="auto"/>
        <w:jc w:val="both"/>
        <w:rPr>
          <w:sz w:val="20"/>
          <w:szCs w:val="20"/>
        </w:rPr>
      </w:pPr>
      <w:r w:rsidDel="00000000" w:rsidR="00000000" w:rsidRPr="00000000">
        <w:rPr>
          <w:sz w:val="20"/>
          <w:szCs w:val="20"/>
          <w:rtl w:val="0"/>
        </w:rPr>
        <w:t xml:space="preserve">Migotto, A. E. 1996. Benthic shallow-water hydroids (Cnidaria, Hydrozoa) of the coast of São Sebastião, Brazil, including a checklist of Brazilian hydroids. Zoologische Verhandelingen, 306(1), 1-125.</w:t>
      </w:r>
    </w:p>
    <w:p w:rsidR="00000000" w:rsidDel="00000000" w:rsidP="00000000" w:rsidRDefault="00000000" w:rsidRPr="00000000" w14:paraId="00000034">
      <w:pPr>
        <w:spacing w:line="240" w:lineRule="auto"/>
        <w:jc w:val="both"/>
        <w:rPr>
          <w:sz w:val="20"/>
          <w:szCs w:val="20"/>
        </w:rPr>
      </w:pPr>
      <w:r w:rsidDel="00000000" w:rsidR="00000000" w:rsidRPr="00000000">
        <w:rPr>
          <w:sz w:val="20"/>
          <w:szCs w:val="20"/>
          <w:rtl w:val="0"/>
        </w:rPr>
        <w:t xml:space="preserve">Morrow, C., &amp; Cárdenas, P. 2015. Proposal for a revised classification of the Demospongiae (Porifera). Frontiers in Zoology, 12, 1-27.</w:t>
      </w:r>
    </w:p>
    <w:p w:rsidR="00000000" w:rsidDel="00000000" w:rsidP="00000000" w:rsidRDefault="00000000" w:rsidRPr="00000000" w14:paraId="00000035">
      <w:pPr>
        <w:spacing w:line="240" w:lineRule="auto"/>
        <w:jc w:val="both"/>
        <w:rPr>
          <w:sz w:val="20"/>
          <w:szCs w:val="20"/>
          <w:highlight w:val="white"/>
        </w:rPr>
      </w:pPr>
      <w:r w:rsidDel="00000000" w:rsidR="00000000" w:rsidRPr="00000000">
        <w:rPr>
          <w:sz w:val="20"/>
          <w:szCs w:val="20"/>
          <w:highlight w:val="white"/>
          <w:rtl w:val="0"/>
        </w:rPr>
        <w:t xml:space="preserve">Moura RL, Amado-Filho GM, Moraes FC, Brasileiro PS, Salomon PS, Mahiques MM, Bastos AC, Almeida MG, Silva Jr JM, Araujo BF, Brito FP. 2016. An extensive reef system at the Amazon River mouth. Science advances. Apr 22;2(4):e1501252.</w:t>
      </w:r>
    </w:p>
    <w:p w:rsidR="00000000" w:rsidDel="00000000" w:rsidP="00000000" w:rsidRDefault="00000000" w:rsidRPr="00000000" w14:paraId="00000036">
      <w:pPr>
        <w:spacing w:line="240" w:lineRule="auto"/>
        <w:jc w:val="both"/>
        <w:rPr>
          <w:sz w:val="20"/>
          <w:szCs w:val="20"/>
          <w:highlight w:val="white"/>
        </w:rPr>
      </w:pPr>
      <w:r w:rsidDel="00000000" w:rsidR="00000000" w:rsidRPr="00000000">
        <w:rPr>
          <w:color w:val="222222"/>
          <w:sz w:val="20"/>
          <w:szCs w:val="20"/>
          <w:highlight w:val="white"/>
          <w:rtl w:val="0"/>
        </w:rPr>
        <w:t xml:space="preserve">Muniz, T. D. S. 2005. O ouro do mar: do surgimento da indústria da pesca da lagosta no Brasil à condição do pescador artesanal na História do tempo presente (1955-2000). Uma narrativa sócio-</w:t>
      </w:r>
      <w:r w:rsidDel="00000000" w:rsidR="00000000" w:rsidRPr="00000000">
        <w:rPr>
          <w:color w:val="222222"/>
          <w:sz w:val="20"/>
          <w:szCs w:val="20"/>
          <w:highlight w:val="white"/>
          <w:rtl w:val="0"/>
        </w:rPr>
        <w:t xml:space="preserve">histórico</w:t>
      </w:r>
      <w:r w:rsidDel="00000000" w:rsidR="00000000" w:rsidRPr="00000000">
        <w:rPr>
          <w:color w:val="222222"/>
          <w:sz w:val="20"/>
          <w:szCs w:val="20"/>
          <w:highlight w:val="white"/>
          <w:rtl w:val="0"/>
        </w:rPr>
        <w:t xml:space="preserve"> marítima.</w:t>
      </w:r>
      <w:r w:rsidDel="00000000" w:rsidR="00000000" w:rsidRPr="00000000">
        <w:rPr>
          <w:rtl w:val="0"/>
        </w:rPr>
      </w:r>
    </w:p>
    <w:p w:rsidR="00000000" w:rsidDel="00000000" w:rsidP="00000000" w:rsidRDefault="00000000" w:rsidRPr="00000000" w14:paraId="00000037">
      <w:pPr>
        <w:spacing w:line="240" w:lineRule="auto"/>
        <w:jc w:val="both"/>
        <w:rPr>
          <w:sz w:val="20"/>
          <w:szCs w:val="20"/>
        </w:rPr>
      </w:pPr>
      <w:r w:rsidDel="00000000" w:rsidR="00000000" w:rsidRPr="00000000">
        <w:rPr>
          <w:sz w:val="20"/>
          <w:szCs w:val="20"/>
          <w:highlight w:val="white"/>
          <w:rtl w:val="0"/>
        </w:rPr>
        <w:t xml:space="preserve">Vale NF, Amado-Filho GM, Braga JC, Brasileiro PS, Karez CS, Moraes FC, Bahia RG, Bastos AC, Moura RL. 2018. Structure and composition of rhodoliths from the Amazon River mouth, Brazil. Journal of South American Earth Sciences. Jul 1;84:149-59.</w:t>
      </w:r>
      <w:r w:rsidDel="00000000" w:rsidR="00000000" w:rsidRPr="00000000">
        <w:rPr>
          <w:rtl w:val="0"/>
        </w:rPr>
      </w:r>
    </w:p>
    <w:p w:rsidR="00000000" w:rsidDel="00000000" w:rsidP="00000000" w:rsidRDefault="00000000" w:rsidRPr="00000000" w14:paraId="00000038">
      <w:pPr>
        <w:spacing w:line="240" w:lineRule="auto"/>
        <w:jc w:val="both"/>
        <w:rPr>
          <w:sz w:val="20"/>
          <w:szCs w:val="20"/>
        </w:rPr>
      </w:pPr>
      <w:r w:rsidDel="00000000" w:rsidR="00000000" w:rsidRPr="00000000">
        <w:rPr>
          <w:sz w:val="20"/>
          <w:szCs w:val="20"/>
          <w:rtl w:val="0"/>
        </w:rPr>
        <w:t xml:space="preserve">Opresko, D. M. 2001. Revision of the antipatharia (Cnidaria: Anthozoa). Part I. Establishment of a new family, Myriopathidae. Zoologische Mededelingen, 75, 343-370.</w:t>
      </w:r>
    </w:p>
    <w:p w:rsidR="00000000" w:rsidDel="00000000" w:rsidP="00000000" w:rsidRDefault="00000000" w:rsidRPr="00000000" w14:paraId="00000039">
      <w:pPr>
        <w:spacing w:line="240" w:lineRule="auto"/>
        <w:jc w:val="both"/>
        <w:rPr>
          <w:sz w:val="20"/>
          <w:szCs w:val="20"/>
        </w:rPr>
      </w:pPr>
      <w:r w:rsidDel="00000000" w:rsidR="00000000" w:rsidRPr="00000000">
        <w:rPr>
          <w:sz w:val="20"/>
          <w:szCs w:val="20"/>
          <w:rtl w:val="0"/>
        </w:rPr>
        <w:t xml:space="preserve">Opresko, D. M. 2006. Revision of the Antipatharia (Cnidaria: Anthozoa). Part V. Establishment of a new family, Stylopathidae. Zoologische Mededelingen, Leiden.</w:t>
      </w:r>
      <w:r w:rsidDel="00000000" w:rsidR="00000000" w:rsidRPr="00000000">
        <w:rPr>
          <w:rtl w:val="0"/>
        </w:rPr>
      </w:r>
    </w:p>
    <w:sectPr>
      <w:headerReference r:id="rId9" w:type="default"/>
      <w:pgSz w:h="16834" w:w="11909" w:orient="portrait"/>
      <w:pgMar w:bottom="1440" w:top="25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tabs>
        <w:tab w:val="center" w:leader="none" w:pos="4252"/>
        <w:tab w:val="right" w:leader="none" w:pos="8504"/>
      </w:tabs>
      <w:spacing w:before="708" w:line="240" w:lineRule="auto"/>
      <w:jc w:val="both"/>
      <w:rPr/>
    </w:pPr>
    <w:r w:rsidDel="00000000" w:rsidR="00000000" w:rsidRPr="00000000">
      <w:rPr>
        <w:rFonts w:ascii="Calibri" w:cs="Calibri" w:eastAsia="Calibri" w:hAnsi="Calibri"/>
        <w:color w:val="ffffff"/>
      </w:rPr>
      <w:drawing>
        <wp:inline distB="0" distT="0" distL="114300" distR="114300">
          <wp:extent cx="1735455" cy="783754"/>
          <wp:effectExtent b="0" l="0" r="0" t="0"/>
          <wp:docPr descr="Logo_CORR 1" id="2" name="image1.png"/>
          <a:graphic>
            <a:graphicData uri="http://schemas.openxmlformats.org/drawingml/2006/picture">
              <pic:pic>
                <pic:nvPicPr>
                  <pic:cNvPr descr="Logo_CORR 1" id="0" name="image1.png"/>
                  <pic:cNvPicPr preferRelativeResize="0"/>
                </pic:nvPicPr>
                <pic:blipFill>
                  <a:blip r:embed="rId1"/>
                  <a:srcRect b="0" l="0" r="0" t="0"/>
                  <a:stretch>
                    <a:fillRect/>
                  </a:stretch>
                </pic:blipFill>
                <pic:spPr>
                  <a:xfrm>
                    <a:off x="0" y="0"/>
                    <a:ext cx="1735455" cy="783754"/>
                  </a:xfrm>
                  <a:prstGeom prst="rect"/>
                  <a:ln/>
                </pic:spPr>
              </pic:pic>
            </a:graphicData>
          </a:graphic>
        </wp:inline>
      </w:drawing>
    </w:r>
    <w:r w:rsidDel="00000000" w:rsidR="00000000" w:rsidRPr="00000000">
      <w:rPr>
        <w:rFonts w:ascii="Calibri" w:cs="Calibri" w:eastAsia="Calibri" w:hAnsi="Calibri"/>
        <w:color w:val="ffffff"/>
        <w:rtl w:val="0"/>
      </w:rPr>
      <w:t xml:space="preserve">                                                                                                          </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zh-C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www.qgis.org" TargetMode="External"/><Relationship Id="rId7" Type="http://schemas.openxmlformats.org/officeDocument/2006/relationships/image" Target="media/image2.png"/><Relationship Id="rId8" Type="http://schemas.openxmlformats.org/officeDocument/2006/relationships/hyperlink" Target="https://doi.org/10.1590/1982-0224-20180038"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