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both"/>
        <w:rPr>
          <w:b w:val="1"/>
          <w:sz w:val="20"/>
          <w:szCs w:val="20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both"/>
        <w:rPr>
          <w:sz w:val="20"/>
          <w:szCs w:val="20"/>
        </w:rPr>
      </w:pPr>
      <w:bookmarkStart w:colFirst="0" w:colLast="0" w:name="_heading=h.30j0zll" w:id="1"/>
      <w:bookmarkEnd w:id="1"/>
      <w:r w:rsidDel="00000000" w:rsidR="00000000" w:rsidRPr="00000000">
        <w:rPr>
          <w:b w:val="1"/>
          <w:sz w:val="20"/>
          <w:szCs w:val="20"/>
          <w:rtl w:val="0"/>
        </w:rPr>
        <w:t xml:space="preserve">ARÉA TEMÁTICA: </w:t>
      </w:r>
      <w:r w:rsidDel="00000000" w:rsidR="00000000" w:rsidRPr="00000000">
        <w:rPr>
          <w:sz w:val="20"/>
          <w:szCs w:val="20"/>
          <w:rtl w:val="0"/>
        </w:rPr>
        <w:t xml:space="preserve">ecologia (Invertebrados)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SUBÁREA TEMÁTICA: </w:t>
      </w:r>
      <w:r w:rsidDel="00000000" w:rsidR="00000000" w:rsidRPr="00000000">
        <w:rPr>
          <w:sz w:val="20"/>
          <w:szCs w:val="20"/>
          <w:rtl w:val="0"/>
        </w:rPr>
        <w:t xml:space="preserve">morfologia animal</w:t>
      </w:r>
    </w:p>
    <w:p w:rsidR="00000000" w:rsidDel="00000000" w:rsidP="00000000" w:rsidRDefault="00000000" w:rsidRPr="00000000" w14:paraId="00000004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MORFOLOGIA DO MOINHO GÁSTRICO DO CARANGUEJO </w:t>
      </w: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Goniopsis cruentata </w:t>
      </w:r>
      <w:r w:rsidDel="00000000" w:rsidR="00000000" w:rsidRPr="00000000">
        <w:rPr>
          <w:b w:val="1"/>
          <w:sz w:val="20"/>
          <w:szCs w:val="20"/>
          <w:rtl w:val="0"/>
        </w:rPr>
        <w:t xml:space="preserve">(DECAPODA: BRACHYURA: GRAPSIDAE) E SUA RELAÇÃO COM O HÁBITO ALIMENTAR</w:t>
      </w:r>
    </w:p>
    <w:p w:rsidR="00000000" w:rsidDel="00000000" w:rsidP="00000000" w:rsidRDefault="00000000" w:rsidRPr="00000000" w14:paraId="00000006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Andressa Freitas dos Santos Barreto¹, Danielle de Souza Rufino², Leonardo Peres de Souza² 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¹ Universidade Federal do Piauí (UFPI), Campus Amílcar Ferreira Sobral. E-mail (Andressa): andressa.freitas.sb@gmail.com</w:t>
      </w:r>
    </w:p>
    <w:p w:rsidR="00000000" w:rsidDel="00000000" w:rsidP="00000000" w:rsidRDefault="00000000" w:rsidRPr="00000000" w14:paraId="0000000A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² Universidade Federal do Delta do Parnaíba (UFDPar), Campus Ministro Reis Velloso</w:t>
      </w:r>
      <w:r w:rsidDel="00000000" w:rsidR="00000000" w:rsidRPr="00000000">
        <w:rPr>
          <w:i w:val="1"/>
          <w:sz w:val="20"/>
          <w:szCs w:val="20"/>
          <w:rtl w:val="0"/>
        </w:rPr>
        <w:t xml:space="preserve">. </w:t>
      </w:r>
      <w:r w:rsidDel="00000000" w:rsidR="00000000" w:rsidRPr="00000000">
        <w:rPr>
          <w:sz w:val="20"/>
          <w:szCs w:val="20"/>
          <w:rtl w:val="0"/>
        </w:rPr>
        <w:t xml:space="preserve">E-mail (Danielle): </w:t>
      </w:r>
      <w:hyperlink r:id="rId7">
        <w:r w:rsidDel="00000000" w:rsidR="00000000" w:rsidRPr="00000000">
          <w:rPr>
            <w:sz w:val="20"/>
            <w:szCs w:val="20"/>
            <w:rtl w:val="0"/>
          </w:rPr>
          <w:t xml:space="preserve">danielle.rufinoo@ufpi.edu.br</w:t>
        </w:r>
      </w:hyperlink>
      <w:r w:rsidDel="00000000" w:rsidR="00000000" w:rsidRPr="00000000">
        <w:rPr>
          <w:sz w:val="20"/>
          <w:szCs w:val="20"/>
          <w:rtl w:val="0"/>
        </w:rPr>
        <w:t xml:space="preserve">; E-mail (Leonardo):  </w:t>
      </w:r>
      <w:hyperlink r:id="rId8">
        <w:r w:rsidDel="00000000" w:rsidR="00000000" w:rsidRPr="00000000">
          <w:rPr>
            <w:sz w:val="20"/>
            <w:szCs w:val="20"/>
            <w:rtl w:val="0"/>
          </w:rPr>
          <w:t xml:space="preserve">leoperes@ufpi.edu.br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40" w:lineRule="auto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INTRODUÇÃO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caranguejo </w:t>
      </w:r>
      <w:r w:rsidDel="00000000" w:rsidR="00000000" w:rsidRPr="00000000">
        <w:rPr>
          <w:i w:val="1"/>
          <w:sz w:val="20"/>
          <w:szCs w:val="20"/>
          <w:rtl w:val="0"/>
        </w:rPr>
        <w:t xml:space="preserve">Goniopsis cruentata</w:t>
      </w:r>
      <w:r w:rsidDel="00000000" w:rsidR="00000000" w:rsidRPr="00000000">
        <w:rPr>
          <w:sz w:val="20"/>
          <w:szCs w:val="20"/>
          <w:rtl w:val="0"/>
        </w:rPr>
        <w:t xml:space="preserve"> (Latreille, 1803) é uma espécie semiterrestre comumente encontrada nos manguezais brasileiros (Reis et al., 2014). Essa espécie pertence à família Grapsidae, que engloba espécies marinhas, de água salobra, dulcícolas, semiterrestres e terrestres </w:t>
      </w:r>
      <w:r w:rsidDel="00000000" w:rsidR="00000000" w:rsidRPr="00000000">
        <w:rPr>
          <w:sz w:val="20"/>
          <w:szCs w:val="20"/>
          <w:rtl w:val="0"/>
        </w:rPr>
        <w:t xml:space="preserve">(Menezes et al., 2012</w:t>
      </w:r>
      <w:r w:rsidDel="00000000" w:rsidR="00000000" w:rsidRPr="00000000">
        <w:rPr>
          <w:sz w:val="20"/>
          <w:szCs w:val="20"/>
          <w:rtl w:val="0"/>
        </w:rPr>
        <w:t xml:space="preserve">). No Nordeste brasileiro,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é um caranguejo comercializado e também utilizado como fonte de subsistência por catadores locais. Apesar de sua importância socioeconômica, há um conhecimento limitado sobre os aspectos morfológicos dessa espécie, especialmente em relação ao sistema digestório. </w:t>
      </w:r>
    </w:p>
    <w:p w:rsidR="00000000" w:rsidDel="00000000" w:rsidP="00000000" w:rsidRDefault="00000000" w:rsidRPr="00000000" w14:paraId="0000000E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sistema digestório dos crustáceos compreende o tubo digestório, que se abre anteriormente em uma boca e posteriormente em um ânus, e é dividido em três regiões: intestino anterior, intestino médio e intestino posterior  (Vogt, 2019). O estômago está situado na região anterior e apresenta duas regiões distintas: região cardíaca e região pilórica (Felgenhauer, 1992). O órgão consiste em um compartimento que apresenta estruturas calcificadas, denominadas ossículos, que atuam auxiliando na sua sustentação. Na região cardíaca, existem ossículos que funcionam como um moinho gástrico, triturando o alimento em pequenas partículas para aprimorar a eficiência do processo digestivo (Suthers, 1984).</w:t>
      </w:r>
    </w:p>
    <w:p w:rsidR="00000000" w:rsidDel="00000000" w:rsidP="00000000" w:rsidRDefault="00000000" w:rsidRPr="00000000" w14:paraId="0000000F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ind w:firstLine="720"/>
        <w:jc w:val="both"/>
        <w:rPr>
          <w:b w:val="1"/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Compreender a organização estrutural do estômago dos braquiúros, pode ser um eficiente meio para a obtenção de informações valiosas sobre o seu tipo de alimentação, uma vez que a morfologia dessa região está diretamente relacionada aos seus hábitos alimentares. Deste modo, este trabalho objetiva caracterizar a morfologia do estômago do caranguejo da espécie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cruentata,</w:t>
      </w:r>
      <w:r w:rsidDel="00000000" w:rsidR="00000000" w:rsidRPr="00000000">
        <w:rPr>
          <w:sz w:val="20"/>
          <w:szCs w:val="20"/>
          <w:rtl w:val="0"/>
        </w:rPr>
        <w:t xml:space="preserve"> obtendo informações referentes aos seus componentes estruturais, de modo a contribuir para o melhor entendimento do hábito alimentar da espécie e sua relação com a morfologia do órgão.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color w:val="ff0000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MATERIAL E MÉTODOS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Os exemplares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foram coletados nos meses de agosto e setembro de 2017, no estuário do Delta Rio Parnaíba, na cidade de </w:t>
      </w:r>
      <w:r w:rsidDel="00000000" w:rsidR="00000000" w:rsidRPr="00000000">
        <w:rPr>
          <w:sz w:val="20"/>
          <w:szCs w:val="20"/>
          <w:rtl w:val="0"/>
        </w:rPr>
        <w:t xml:space="preserve">Parnaíba-Pi</w:t>
      </w:r>
      <w:r w:rsidDel="00000000" w:rsidR="00000000" w:rsidRPr="00000000">
        <w:rPr>
          <w:sz w:val="20"/>
          <w:szCs w:val="20"/>
          <w:rtl w:val="0"/>
        </w:rPr>
        <w:t xml:space="preserve">. Após a captura, os indivíduos foram transportados para o Laboratório de Análise e Processamento Histológico (LAPHIS), da Universidade Federal do Delta do Parnaíba (UFDPar), onde foram eutanasiados por crioanestesia e em seguida dissecados, e desta forma, características morfológicas puderam ser analisadas. A coleta, bem como o transporte dos animais, foram autorizados pelo Instituto Chico Mendes de Conservação da Biodiversidade (ICMBio:54796-1). </w:t>
      </w:r>
    </w:p>
    <w:p w:rsidR="00000000" w:rsidDel="00000000" w:rsidP="00000000" w:rsidRDefault="00000000" w:rsidRPr="00000000" w14:paraId="00000014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Para a análise anatômica, os estômagos passaram por um processo de remoção da musculatura, que ocorreu da seguinte maneira: os órgãos foram imersos em KOH (hidróxido de potássio) 5%, a uma temperatura de 60° em uma estufa, durante um período de 6 a 48 horas (adaptado de Woods, 1995). A musculatura remanescente foi removida com o auxílio de uma pinça, permitindo assim, uma visualização mais clara das estruturas que compõem o moinho gástrico desses animais. As características estruturais do órgão foram analisadas com o auxílio de um estereomicroscópio com câmera acoplada, permitindo o registro das imagens.  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ab/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RESULTADOS E DISCUSSÃO</w:t>
      </w:r>
    </w:p>
    <w:p w:rsidR="00000000" w:rsidDel="00000000" w:rsidP="00000000" w:rsidRDefault="00000000" w:rsidRPr="00000000" w14:paraId="00000017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O estômago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é uma dilatação do sistema digestório localizada anteriormente. O órgão da espécie apresenta duas regiões bem definidas: a cardíaca e a pilórica, assim como observado para decápodes (Felgenhauer, 1992).  Na abertura do esôfago para o estômago, que ocorre na região ventral da porção cardíaca,  observa-se um par de estruturas alongadas e cobertas por </w:t>
      </w:r>
      <w:r w:rsidDel="00000000" w:rsidR="00000000" w:rsidRPr="00000000">
        <w:rPr>
          <w:sz w:val="20"/>
          <w:szCs w:val="20"/>
          <w:rtl w:val="0"/>
        </w:rPr>
        <w:t xml:space="preserve">cerdas</w:t>
      </w:r>
      <w:r w:rsidDel="00000000" w:rsidR="00000000" w:rsidRPr="00000000">
        <w:rPr>
          <w:sz w:val="20"/>
          <w:szCs w:val="20"/>
          <w:rtl w:val="0"/>
        </w:rPr>
        <w:t xml:space="preserve">, as válvulas esofágicas (Fig. 1A). Essas são responsáveis por direcionar o alimento para o moinho gástrico (Kunze e Anderson, 1979)</w:t>
      </w:r>
    </w:p>
    <w:p w:rsidR="00000000" w:rsidDel="00000000" w:rsidP="00000000" w:rsidRDefault="00000000" w:rsidRPr="00000000" w14:paraId="00000018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 No estômago cardíaco está localizado o moinho gástrico, que é composto por 3 “dentes” e duas estruturas acessórias. Um “dente” central localizado dorsalmente e dois “dentes” laterais pareados. O “dente” central apresenta em sua estrutura 4 cúspides robustas e afiadas (Fig 1D.), enquanto os “dentes” laterais apresentam 5 cúspides e uma superfície serrilhada que diminuem em direção posterior (Fig. 1E). O moinho gástrico dos decápodes é capaz de executar diferentes ações, como corte, trituração e compressão dos alimentos (Bohm, 1997). Auxiliando no funcionamento do moinho gástrico, observa-se dois “dentes” laterais acessórios pareados (Fig. 1C) e as válvulas cardiopilóricas (1D). Ao entrar no estômago cardíaco, o alimento é direcionado para o moinho por meio das válvulas esofágicas e dos dentes laterais acessórios, especialmente as peças maiores de alimento (Kunze e Anderson, 1979). A válvula cardiopilórica desempenha um papel duplo, sendo responsável por evitar o refluxo dos alimentos de volta ao estômago cardíaco e também por impedir que os alimentos avancem prematuramente para o estômago pilórico antes que a trituração seja concluída (Heeren et al., 1997). A região posterior do estômago é a chamada região pilórica, onde foram observadas duas ampolas localizadas ventralmente (Fig. 1B). Tais estruturas realizam a filtração do alimento triturado no moinho gástrico (Davie et al., 2015). </w:t>
      </w:r>
    </w:p>
    <w:p w:rsidR="00000000" w:rsidDel="00000000" w:rsidP="00000000" w:rsidRDefault="00000000" w:rsidRPr="00000000" w14:paraId="00000019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1181100</wp:posOffset>
            </wp:positionH>
            <wp:positionV relativeFrom="paragraph">
              <wp:posOffset>9525</wp:posOffset>
            </wp:positionV>
            <wp:extent cx="3529013" cy="4434361"/>
            <wp:effectExtent b="0" l="0" r="0" t="0"/>
            <wp:wrapSquare wrapText="bothSides" distB="0" distT="0" distL="0" distR="0"/>
            <wp:docPr id="8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29013" cy="443436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1B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40" w:lineRule="auto"/>
        <w:ind w:firstLine="567"/>
        <w:jc w:val="center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240" w:lineRule="auto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.</w:t>
      </w:r>
    </w:p>
    <w:p w:rsidR="00000000" w:rsidDel="00000000" w:rsidP="00000000" w:rsidRDefault="00000000" w:rsidRPr="00000000" w14:paraId="00000021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Figura 1 - A) Válvula esofágica (VE). B) Ampolas (A). C) Dentículos laterais (dl) e dentículo mediano (dm) que compõem o moinho gástrico. Dentículos laterais acessórios (dla). D) Visão ventral e lateral do “dente” medial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, salientando cúspides (CP). Válvula cardiopolírica (VC). E) Detalhamento do “dente” lateral exibindo cúspides (CP) e superfície serrilhada (S). F) “Dente” lateral acessório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evidenciando os espinhos (E).  </w:t>
      </w:r>
      <w:r w:rsidDel="00000000" w:rsidR="00000000" w:rsidRPr="00000000">
        <w:rPr>
          <w:i w:val="1"/>
          <w:sz w:val="20"/>
          <w:szCs w:val="20"/>
          <w:rtl w:val="0"/>
        </w:rPr>
        <w:t xml:space="preserve">A🡪 P – sentido anteroposterior.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Fonte: autoral</w:t>
      </w:r>
    </w:p>
    <w:p w:rsidR="00000000" w:rsidDel="00000000" w:rsidP="00000000" w:rsidRDefault="00000000" w:rsidRPr="00000000" w14:paraId="0000003B">
      <w:pPr>
        <w:spacing w:line="240" w:lineRule="auto"/>
        <w:ind w:firstLine="720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ind w:firstLine="720"/>
        <w:jc w:val="both"/>
        <w:rPr>
          <w:sz w:val="24"/>
          <w:szCs w:val="24"/>
        </w:rPr>
      </w:pPr>
      <w:r w:rsidDel="00000000" w:rsidR="00000000" w:rsidRPr="00000000">
        <w:rPr>
          <w:sz w:val="20"/>
          <w:szCs w:val="20"/>
          <w:rtl w:val="0"/>
        </w:rPr>
        <w:t xml:space="preserve">A anatomia do moinho gástrico é variável, a depender da espécie, em decápodes (Allardyce e Linton, 2010), “dentes” de espécies herbívoras possuem cristas e cúspides afiadas para o corte de fibra vegetal (Giddins et al., 1986; Allardyce e Linton, 2010). Presume-se que carnívoros possuem “dentes” adaptados para trituração de tecidos moles (Skilleter e Anderson, 1986), enquanto onívoros apresentam “dentes” com características intermediárias de caranguejos herbívoros e carnívoros (Allardyce e Linton, 2010; Carvalho et al., 2017). Embora seja classificado como uma espécie onívora,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apresenta dentes em seu moinho gástrico semelhantes com aqueles encontrados em braquiúros herbívoros, como </w:t>
      </w:r>
      <w:r w:rsidDel="00000000" w:rsidR="00000000" w:rsidRPr="00000000">
        <w:rPr>
          <w:i w:val="1"/>
          <w:sz w:val="20"/>
          <w:szCs w:val="20"/>
          <w:rtl w:val="0"/>
        </w:rPr>
        <w:t xml:space="preserve">Gecarcoidea natalis, Discoplax hirtipes</w:t>
      </w:r>
      <w:r w:rsidDel="00000000" w:rsidR="00000000" w:rsidRPr="00000000">
        <w:rPr>
          <w:sz w:val="20"/>
          <w:szCs w:val="20"/>
          <w:rtl w:val="0"/>
        </w:rPr>
        <w:t xml:space="preserve"> (Allardyce e Linton, 2010) e </w:t>
      </w:r>
      <w:r w:rsidDel="00000000" w:rsidR="00000000" w:rsidRPr="00000000">
        <w:rPr>
          <w:i w:val="1"/>
          <w:sz w:val="20"/>
          <w:szCs w:val="20"/>
          <w:rtl w:val="0"/>
        </w:rPr>
        <w:t xml:space="preserve">Neosarmatium smithi </w:t>
      </w:r>
      <w:r w:rsidDel="00000000" w:rsidR="00000000" w:rsidRPr="00000000">
        <w:rPr>
          <w:sz w:val="20"/>
          <w:szCs w:val="20"/>
          <w:rtl w:val="0"/>
        </w:rPr>
        <w:t xml:space="preserve">(Giddins et al., 1986).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line="240" w:lineRule="auto"/>
        <w:jc w:val="both"/>
        <w:rPr>
          <w:b w:val="1"/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CONCLUSÕES</w:t>
      </w:r>
    </w:p>
    <w:p w:rsidR="00000000" w:rsidDel="00000000" w:rsidP="00000000" w:rsidRDefault="00000000" w:rsidRPr="00000000" w14:paraId="0000003F">
      <w:pPr>
        <w:spacing w:line="240" w:lineRule="auto"/>
        <w:ind w:firstLine="567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As características observadas no estômago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G. cruentata</w:t>
      </w:r>
      <w:r w:rsidDel="00000000" w:rsidR="00000000" w:rsidRPr="00000000">
        <w:rPr>
          <w:sz w:val="20"/>
          <w:szCs w:val="20"/>
          <w:rtl w:val="0"/>
        </w:rPr>
        <w:t xml:space="preserve"> assemelham-se ao observado em caranguejos Brachyura e sugerem o hábito alimentar onívoro com predominância de material vegetal.</w:t>
      </w:r>
    </w:p>
    <w:p w:rsidR="00000000" w:rsidDel="00000000" w:rsidP="00000000" w:rsidRDefault="00000000" w:rsidRPr="00000000" w14:paraId="00000040">
      <w:pPr>
        <w:spacing w:line="240" w:lineRule="auto"/>
        <w:ind w:firstLine="567"/>
        <w:jc w:val="both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b w:val="1"/>
          <w:sz w:val="20"/>
          <w:szCs w:val="20"/>
          <w:rtl w:val="0"/>
        </w:rPr>
        <w:t xml:space="preserve">REFERÊNCIAS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Allardyce, B. J.; Linton, S. M. 2010. Functional morphology of the gastric mills of carnivorous, omnivorous, and herbivorous land crabs. Journal of Morphology. </w:t>
      </w:r>
    </w:p>
    <w:p w:rsidR="00000000" w:rsidDel="00000000" w:rsidP="00000000" w:rsidRDefault="00000000" w:rsidRPr="00000000" w14:paraId="00000043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Böhm, H.; Eitner, P.; Messai, E.; Heinzel, H.-G. 1997. Das Nervensystem des Flußkrebsmagens. In: Biologie in unserer Zeit, 27(1), 56–64. </w:t>
      </w:r>
    </w:p>
    <w:p w:rsidR="00000000" w:rsidDel="00000000" w:rsidP="00000000" w:rsidRDefault="00000000" w:rsidRPr="00000000" w14:paraId="00000044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Carvalho, D. A.; Viozzi, M. F.;, Collins, P.A.; Williner, V. 2017.Functional morphology of comminuting feeding structures of </w:t>
      </w:r>
      <w:r w:rsidDel="00000000" w:rsidR="00000000" w:rsidRPr="00000000">
        <w:rPr>
          <w:i w:val="1"/>
          <w:sz w:val="20"/>
          <w:szCs w:val="20"/>
          <w:rtl w:val="0"/>
        </w:rPr>
        <w:t xml:space="preserve">Trichodactylus borellianus</w:t>
      </w:r>
      <w:r w:rsidDel="00000000" w:rsidR="00000000" w:rsidRPr="00000000">
        <w:rPr>
          <w:sz w:val="20"/>
          <w:szCs w:val="20"/>
          <w:rtl w:val="0"/>
        </w:rPr>
        <w:t xml:space="preserve"> (Brachyura, Decapoda, Trichodactylidae), an omnivorous freshwater crab. Arthropod Structure and Develop- ment 46:472482 DOI 10.1016/j.asd.2017.05.001. </w:t>
      </w:r>
    </w:p>
    <w:p w:rsidR="00000000" w:rsidDel="00000000" w:rsidP="00000000" w:rsidRDefault="00000000" w:rsidRPr="00000000" w14:paraId="00000045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Reis, C. R.; Taddei, F. G.; Cobo, V. J. 2014. Growth and reproduction of the mangrove crab </w:t>
      </w:r>
      <w:r w:rsidDel="00000000" w:rsidR="00000000" w:rsidRPr="00000000">
        <w:rPr>
          <w:i w:val="1"/>
          <w:sz w:val="20"/>
          <w:szCs w:val="20"/>
          <w:rtl w:val="0"/>
        </w:rPr>
        <w:t xml:space="preserve">Goniopsis cruentata</w:t>
      </w:r>
      <w:r w:rsidDel="00000000" w:rsidR="00000000" w:rsidRPr="00000000">
        <w:rPr>
          <w:sz w:val="20"/>
          <w:szCs w:val="20"/>
          <w:rtl w:val="0"/>
        </w:rPr>
        <w:t xml:space="preserve"> (Latreille, 1803) (Crustacea: Decapoda: Grapsidae) in southeastern Brazil. </w:t>
      </w:r>
    </w:p>
    <w:p w:rsidR="00000000" w:rsidDel="00000000" w:rsidP="00000000" w:rsidRDefault="00000000" w:rsidRPr="00000000" w14:paraId="00000046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Davie, P. J. F.; Guinot, D.; Ng, P. K. L. 2015. Anatomy and functional morphology of Brachyura. In: P. Castro, P. J. F. Davie, D. Guinot, Schram, F. Von Vaupel Klein C, editors. Treatise on zoology - anatomy taxonomy biology the Crustacea volume 9 part C: Brill, p 11 – 163. </w:t>
      </w:r>
    </w:p>
    <w:p w:rsidR="00000000" w:rsidDel="00000000" w:rsidP="00000000" w:rsidRDefault="00000000" w:rsidRPr="00000000" w14:paraId="00000047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Felgenhauer, B. E.1992.  Internal anatomy of the Decapoda: An overview. In F. W. Harrison &amp; A. G. Humes (Eds.), Microscopic anatomy of invertebrates (Vol. 10, pp. 45–75). Decapod Crustacea: Wiley- Liss, Inc.</w:t>
      </w:r>
    </w:p>
    <w:p w:rsidR="00000000" w:rsidDel="00000000" w:rsidP="00000000" w:rsidRDefault="00000000" w:rsidRPr="00000000" w14:paraId="00000048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Giddins, R. L.; Lucas. J, S.; Neilson, M. J.; Richards, G. N.  1986. Feeding ecology of the mangrove crab </w:t>
      </w:r>
      <w:r w:rsidDel="00000000" w:rsidR="00000000" w:rsidRPr="00000000">
        <w:rPr>
          <w:i w:val="1"/>
          <w:sz w:val="20"/>
          <w:szCs w:val="20"/>
          <w:rtl w:val="0"/>
        </w:rPr>
        <w:t xml:space="preserve">Neosarmatium smithi </w:t>
      </w:r>
      <w:r w:rsidDel="00000000" w:rsidR="00000000" w:rsidRPr="00000000">
        <w:rPr>
          <w:sz w:val="20"/>
          <w:szCs w:val="20"/>
          <w:rtl w:val="0"/>
        </w:rPr>
        <w:t xml:space="preserve">(Crustacea: Decapoda: Sesarmidae). Marine Ecology Progress Series 33:147155 DOI 10.3354/meps033147.</w:t>
      </w:r>
    </w:p>
    <w:p w:rsidR="00000000" w:rsidDel="00000000" w:rsidP="00000000" w:rsidRDefault="00000000" w:rsidRPr="00000000" w14:paraId="00000049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Heeren, T.; Mitchell, B. D. 1997 Morphology of the mouthparts, gastric mill and digestive tract of the giant crab, </w:t>
      </w:r>
      <w:r w:rsidDel="00000000" w:rsidR="00000000" w:rsidRPr="00000000">
        <w:rPr>
          <w:i w:val="1"/>
          <w:sz w:val="20"/>
          <w:szCs w:val="20"/>
          <w:rtl w:val="0"/>
        </w:rPr>
        <w:t xml:space="preserve">Pseudocarcinus giga</w:t>
      </w:r>
      <w:r w:rsidDel="00000000" w:rsidR="00000000" w:rsidRPr="00000000">
        <w:rPr>
          <w:sz w:val="20"/>
          <w:szCs w:val="20"/>
          <w:rtl w:val="0"/>
        </w:rPr>
        <w:t xml:space="preserve">s (Milne-Edwards) (Decapoda: Oziidae). Marine and Freshwater Research 48:718 DOI 10.1071/MF96026. </w:t>
      </w:r>
    </w:p>
    <w:p w:rsidR="00000000" w:rsidDel="00000000" w:rsidP="00000000" w:rsidRDefault="00000000" w:rsidRPr="00000000" w14:paraId="0000004A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Kunze, J.; Anderson, D. 1979. Functional morphology of the mouthparts and gastric mill in the hermit crabs </w:t>
      </w:r>
      <w:r w:rsidDel="00000000" w:rsidR="00000000" w:rsidRPr="00000000">
        <w:rPr>
          <w:i w:val="1"/>
          <w:sz w:val="20"/>
          <w:szCs w:val="20"/>
          <w:rtl w:val="0"/>
        </w:rPr>
        <w:t xml:space="preserve">Clibanarius taeniatus </w:t>
      </w:r>
      <w:r w:rsidDel="00000000" w:rsidR="00000000" w:rsidRPr="00000000">
        <w:rPr>
          <w:sz w:val="20"/>
          <w:szCs w:val="20"/>
          <w:rtl w:val="0"/>
        </w:rPr>
        <w:t xml:space="preserve">(Milne Edwards), </w:t>
      </w:r>
      <w:r w:rsidDel="00000000" w:rsidR="00000000" w:rsidRPr="00000000">
        <w:rPr>
          <w:i w:val="1"/>
          <w:sz w:val="20"/>
          <w:szCs w:val="20"/>
          <w:rtl w:val="0"/>
        </w:rPr>
        <w:t xml:space="preserve">Clibanarius virescens</w:t>
      </w:r>
      <w:r w:rsidDel="00000000" w:rsidR="00000000" w:rsidRPr="00000000">
        <w:rPr>
          <w:sz w:val="20"/>
          <w:szCs w:val="20"/>
          <w:rtl w:val="0"/>
        </w:rPr>
        <w:t xml:space="preserve"> (Krauss), </w:t>
      </w:r>
      <w:r w:rsidDel="00000000" w:rsidR="00000000" w:rsidRPr="00000000">
        <w:rPr>
          <w:i w:val="1"/>
          <w:sz w:val="20"/>
          <w:szCs w:val="20"/>
          <w:rtl w:val="0"/>
        </w:rPr>
        <w:t xml:space="preserve">Paguristes squamosus</w:t>
      </w:r>
      <w:r w:rsidDel="00000000" w:rsidR="00000000" w:rsidRPr="00000000">
        <w:rPr>
          <w:sz w:val="20"/>
          <w:szCs w:val="20"/>
          <w:rtl w:val="0"/>
        </w:rPr>
        <w:t xml:space="preserve"> McCulloch and </w:t>
      </w:r>
      <w:r w:rsidDel="00000000" w:rsidR="00000000" w:rsidRPr="00000000">
        <w:rPr>
          <w:i w:val="1"/>
          <w:sz w:val="20"/>
          <w:szCs w:val="20"/>
          <w:rtl w:val="0"/>
        </w:rPr>
        <w:t xml:space="preserve">Dardanus setifer</w:t>
      </w:r>
      <w:r w:rsidDel="00000000" w:rsidR="00000000" w:rsidRPr="00000000">
        <w:rPr>
          <w:sz w:val="20"/>
          <w:szCs w:val="20"/>
          <w:rtl w:val="0"/>
        </w:rPr>
        <w:t xml:space="preserve"> (Milne-Edwards) (Anomura:Paguridae). Australian Journ. Marine and Freshwater Research 30, 683–722. </w:t>
      </w:r>
    </w:p>
    <w:p w:rsidR="00000000" w:rsidDel="00000000" w:rsidP="00000000" w:rsidRDefault="00000000" w:rsidRPr="00000000" w14:paraId="0000004B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Menezes, A. P. D.; Araújo, M. S. L. C.; Calado, T. C. S. 2012. Bioecologia de </w:t>
      </w:r>
      <w:r w:rsidDel="00000000" w:rsidR="00000000" w:rsidRPr="00000000">
        <w:rPr>
          <w:i w:val="1"/>
          <w:sz w:val="20"/>
          <w:szCs w:val="20"/>
          <w:rtl w:val="0"/>
        </w:rPr>
        <w:t xml:space="preserve">Goniopsis cruentata</w:t>
      </w:r>
      <w:r w:rsidDel="00000000" w:rsidR="00000000" w:rsidRPr="00000000">
        <w:rPr>
          <w:sz w:val="20"/>
          <w:szCs w:val="20"/>
          <w:rtl w:val="0"/>
        </w:rPr>
        <w:t xml:space="preserve"> (Latreille, 1803) (Decapoda, Grapsidae) do complexo estuarino</w:t>
      </w:r>
      <w:r w:rsidDel="00000000" w:rsidR="00000000" w:rsidRPr="00000000">
        <w:rPr>
          <w:rFonts w:ascii="Cambria Math" w:cs="Cambria Math" w:eastAsia="Cambria Math" w:hAnsi="Cambria Math"/>
          <w:sz w:val="20"/>
          <w:szCs w:val="20"/>
          <w:rtl w:val="0"/>
        </w:rPr>
        <w:t xml:space="preserve">‐</w:t>
      </w:r>
      <w:r w:rsidDel="00000000" w:rsidR="00000000" w:rsidRPr="00000000">
        <w:rPr>
          <w:sz w:val="20"/>
          <w:szCs w:val="20"/>
          <w:rtl w:val="0"/>
        </w:rPr>
        <w:t xml:space="preserve">lagunar Mundaú/Manguaba, Alagoas, Brasil. Natural Resources, Aquidabã, v.2, n.2, p.37</w:t>
      </w:r>
      <w:r w:rsidDel="00000000" w:rsidR="00000000" w:rsidRPr="00000000">
        <w:rPr>
          <w:rFonts w:ascii="Cambria Math" w:cs="Cambria Math" w:eastAsia="Cambria Math" w:hAnsi="Cambria Math"/>
          <w:sz w:val="20"/>
          <w:szCs w:val="20"/>
          <w:rtl w:val="0"/>
        </w:rPr>
        <w:t xml:space="preserve">‐</w:t>
      </w:r>
      <w:r w:rsidDel="00000000" w:rsidR="00000000" w:rsidRPr="00000000">
        <w:rPr>
          <w:sz w:val="20"/>
          <w:szCs w:val="20"/>
          <w:rtl w:val="0"/>
        </w:rPr>
        <w:t xml:space="preserve">49</w:t>
      </w:r>
    </w:p>
    <w:p w:rsidR="00000000" w:rsidDel="00000000" w:rsidP="00000000" w:rsidRDefault="00000000" w:rsidRPr="00000000" w14:paraId="0000004C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Vogt, G.  2019. Functional cytology of the hepatopancreas of decapod crustaceans. Journal of Morphology. 280, p.1405–1444.</w:t>
      </w:r>
    </w:p>
    <w:p w:rsidR="00000000" w:rsidDel="00000000" w:rsidP="00000000" w:rsidRDefault="00000000" w:rsidRPr="00000000" w14:paraId="0000004D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Suthers, I. M. 1984. Functional morphology of the mouthparts and gastric mill in </w:t>
      </w:r>
      <w:r w:rsidDel="00000000" w:rsidR="00000000" w:rsidRPr="00000000">
        <w:rPr>
          <w:i w:val="1"/>
          <w:sz w:val="20"/>
          <w:szCs w:val="20"/>
          <w:rtl w:val="0"/>
        </w:rPr>
        <w:t xml:space="preserve">Penaeus plebejus</w:t>
      </w:r>
      <w:r w:rsidDel="00000000" w:rsidR="00000000" w:rsidRPr="00000000">
        <w:rPr>
          <w:sz w:val="20"/>
          <w:szCs w:val="20"/>
          <w:rtl w:val="0"/>
        </w:rPr>
        <w:t xml:space="preserve"> Hess (Decapoda: Penaeidea).-Australian Journal of Marine and Freshwater Research 35: 785-792.</w:t>
      </w:r>
    </w:p>
    <w:p w:rsidR="00000000" w:rsidDel="00000000" w:rsidP="00000000" w:rsidRDefault="00000000" w:rsidRPr="00000000" w14:paraId="0000004E">
      <w:pPr>
        <w:spacing w:line="240" w:lineRule="auto"/>
        <w:jc w:val="both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Woods, C. M. C. 1995. Morphology of the foregut of the spider crab Notomithrax ursus (Brachyura:Majidae). Journal of Crustacean Biology.</w:t>
      </w:r>
    </w:p>
    <w:sectPr>
      <w:headerReference r:id="rId10" w:type="default"/>
      <w:pgSz w:h="16834" w:w="11909" w:orient="portrait"/>
      <w:pgMar w:bottom="1440" w:top="25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Cambria Math">
    <w:embedRegular w:fontKey="{00000000-0000-0000-0000-000000000000}" r:id="rId1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F">
    <w:pPr>
      <w:tabs>
        <w:tab w:val="center" w:leader="none" w:pos="4252"/>
        <w:tab w:val="right" w:leader="none" w:pos="8504"/>
      </w:tabs>
      <w:spacing w:before="708" w:line="240" w:lineRule="auto"/>
      <w:jc w:val="both"/>
      <w:rPr/>
    </w:pPr>
    <w:r w:rsidDel="00000000" w:rsidR="00000000" w:rsidRPr="00000000">
      <w:rPr>
        <w:rFonts w:ascii="Calibri" w:cs="Calibri" w:eastAsia="Calibri" w:hAnsi="Calibri"/>
        <w:color w:val="ffffff"/>
      </w:rPr>
      <w:drawing>
        <wp:inline distB="0" distT="0" distL="114300" distR="114300">
          <wp:extent cx="1776095" cy="798195"/>
          <wp:effectExtent b="0" l="0" r="0" t="0"/>
          <wp:docPr descr="Logo_CORR 1" id="9" name="image1.png"/>
          <a:graphic>
            <a:graphicData uri="http://schemas.openxmlformats.org/drawingml/2006/picture">
              <pic:pic>
                <pic:nvPicPr>
                  <pic:cNvPr descr="Logo_CORR 1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6095" cy="79819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Fonts w:ascii="Calibri" w:cs="Calibri" w:eastAsia="Calibri" w:hAnsi="Calibri"/>
        <w:color w:val="ffffff"/>
        <w:rtl w:val="0"/>
      </w:rPr>
      <w:t xml:space="preserve">                                                                                                          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zh-C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Rodap">
    <w:name w:val="footer"/>
    <w:basedOn w:val="Normal"/>
    <w:qFormat w:val="1"/>
    <w:pPr>
      <w:tabs>
        <w:tab w:val="center" w:pos="4252"/>
        <w:tab w:val="right" w:pos="8504"/>
      </w:tabs>
    </w:p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TableNormal0" w:customStyle="1">
    <w:name w:val="Table Normal"/>
    <w:qFormat w:val="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Reviso">
    <w:name w:val="Revision"/>
    <w:hidden w:val="1"/>
    <w:uiPriority w:val="99"/>
    <w:semiHidden w:val="1"/>
    <w:rsid w:val="00A259FB"/>
    <w:pPr>
      <w:spacing w:line="240" w:lineRule="auto"/>
    </w:pPr>
  </w:style>
  <w:style w:type="character" w:styleId="Refdecomentrio">
    <w:name w:val="annotation reference"/>
    <w:basedOn w:val="Fontepargpadro"/>
    <w:uiPriority w:val="99"/>
    <w:semiHidden w:val="1"/>
    <w:unhideWhenUsed w:val="1"/>
    <w:rsid w:val="0020694A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sid w:val="0020694A"/>
    <w:pPr>
      <w:spacing w:line="240" w:lineRule="auto"/>
    </w:pPr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sid w:val="0020694A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 w:val="1"/>
    <w:unhideWhenUsed w:val="1"/>
    <w:rsid w:val="0020694A"/>
    <w:rPr>
      <w:b w:val="1"/>
      <w:bCs w:val="1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 w:val="1"/>
    <w:rsid w:val="0020694A"/>
    <w:rPr>
      <w:b w:val="1"/>
      <w:bCs w:val="1"/>
      <w:sz w:val="20"/>
      <w:szCs w:val="2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danielle.rufinoo@ufpi.edu.br" TargetMode="External"/><Relationship Id="rId8" Type="http://schemas.openxmlformats.org/officeDocument/2006/relationships/hyperlink" Target="mailto:leoperes@ufpi.edu.br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ambriaMath-regular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3z86F56SMiUM+N31/1YU9NHBtbA==">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2023-04-12T17:44:00Z</dcterms:created>
  <dc:creator>jesse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1046-11.2.0.11388</vt:lpwstr>
  </property>
  <property fmtid="{D5CDD505-2E9C-101B-9397-08002B2CF9AE}" pid="3" name="ICV">
    <vt:lpwstr>72DE21DEC1A84E559D7BB609DCEDA745</vt:lpwstr>
  </property>
</Properties>
</file>