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7E7DC98" w:rsidR="00B337D8" w:rsidRPr="00A9354B" w:rsidRDefault="004D0330" w:rsidP="00AE4B8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b/>
        </w:rPr>
      </w:pPr>
      <w:bookmarkStart w:id="0" w:name="_heading=h.gjdgxs" w:colFirst="0" w:colLast="0"/>
      <w:bookmarkEnd w:id="0"/>
      <w:r w:rsidRPr="00A9354B">
        <w:rPr>
          <w:b/>
        </w:rPr>
        <w:t>POLÍTICA DE FORMAÇÃO DE PROFESSORES E OS DESAFIOS PARA UTILIZAÇÃO DAS TDICS NO PROCESSO DE ENSINO E APRENDIZAGEM NAS ESCOLAS ESTADUAIS DO AMAZONAS</w:t>
      </w:r>
    </w:p>
    <w:p w14:paraId="00000002" w14:textId="77777777" w:rsidR="00B337D8" w:rsidRPr="00A9354B" w:rsidRDefault="00B337D8" w:rsidP="000663E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</w:rPr>
      </w:pPr>
      <w:bookmarkStart w:id="1" w:name="_heading=h.rcmzg99l3h77" w:colFirst="0" w:colLast="0"/>
      <w:bookmarkEnd w:id="1"/>
    </w:p>
    <w:p w14:paraId="00000003" w14:textId="196C472C" w:rsidR="00B337D8" w:rsidRPr="00935F8B" w:rsidRDefault="004D0330" w:rsidP="00CE7A31">
      <w:pPr>
        <w:ind w:left="4820"/>
        <w:jc w:val="right"/>
      </w:pPr>
      <w:r w:rsidRPr="00935F8B">
        <w:t>Estrela Dinamar Vinente Santarém</w:t>
      </w:r>
      <w:r w:rsidR="00A204F8" w:rsidRPr="00935F8B">
        <w:rPr>
          <w:vertAlign w:val="superscript"/>
        </w:rPr>
        <w:footnoteReference w:id="1"/>
      </w:r>
      <w:r w:rsidR="00A204F8" w:rsidRPr="00935F8B">
        <w:t xml:space="preserve"> </w:t>
      </w:r>
    </w:p>
    <w:p w14:paraId="00000004" w14:textId="14EF7125" w:rsidR="00B337D8" w:rsidRPr="00935F8B" w:rsidRDefault="004D0330" w:rsidP="00CE7A31">
      <w:pPr>
        <w:ind w:left="4820"/>
        <w:jc w:val="right"/>
      </w:pPr>
      <w:r w:rsidRPr="00935F8B">
        <w:t>Camila Ferreira da Silva</w:t>
      </w:r>
      <w:r w:rsidR="00A204F8" w:rsidRPr="00935F8B">
        <w:rPr>
          <w:vertAlign w:val="superscript"/>
        </w:rPr>
        <w:footnoteReference w:id="2"/>
      </w:r>
    </w:p>
    <w:p w14:paraId="00000006" w14:textId="068408A0" w:rsidR="00B337D8" w:rsidRPr="00935F8B" w:rsidRDefault="00A204F8" w:rsidP="00CE7A31">
      <w:pPr>
        <w:ind w:left="4820"/>
        <w:jc w:val="right"/>
      </w:pPr>
      <w:r w:rsidRPr="00935F8B">
        <w:rPr>
          <w:b/>
        </w:rPr>
        <w:t>E-mail:</w:t>
      </w:r>
      <w:r w:rsidRPr="00935F8B">
        <w:t xml:space="preserve"> (</w:t>
      </w:r>
      <w:r w:rsidR="004D0330" w:rsidRPr="00935F8B">
        <w:t>evinente@gmail.com</w:t>
      </w:r>
      <w:r w:rsidRPr="00935F8B">
        <w:t>)</w:t>
      </w:r>
    </w:p>
    <w:p w14:paraId="6A529E04" w14:textId="299DE91F" w:rsidR="00564A34" w:rsidRPr="00935F8B" w:rsidRDefault="00A204F8" w:rsidP="00E317D2">
      <w:pPr>
        <w:ind w:left="3969"/>
        <w:jc w:val="right"/>
      </w:pPr>
      <w:r w:rsidRPr="00935F8B">
        <w:rPr>
          <w:b/>
        </w:rPr>
        <w:t xml:space="preserve">GT </w:t>
      </w:r>
      <w:r w:rsidR="008A43E3" w:rsidRPr="00935F8B">
        <w:rPr>
          <w:b/>
        </w:rPr>
        <w:t>1</w:t>
      </w:r>
      <w:r w:rsidRPr="00935F8B">
        <w:rPr>
          <w:b/>
        </w:rPr>
        <w:t>:</w:t>
      </w:r>
      <w:r w:rsidRPr="00935F8B">
        <w:t xml:space="preserve"> (</w:t>
      </w:r>
      <w:r w:rsidR="00564A34" w:rsidRPr="00935F8B">
        <w:t>Educação, Estado e Sociedade na Amazônia)</w:t>
      </w:r>
    </w:p>
    <w:p w14:paraId="00000008" w14:textId="4D0A1FBE" w:rsidR="00B337D8" w:rsidRPr="00935F8B" w:rsidRDefault="00A204F8" w:rsidP="00CE7A31">
      <w:pPr>
        <w:ind w:left="4820"/>
        <w:jc w:val="right"/>
      </w:pPr>
      <w:r w:rsidRPr="00935F8B">
        <w:rPr>
          <w:b/>
        </w:rPr>
        <w:t>Financiamento:</w:t>
      </w:r>
      <w:r w:rsidRPr="00935F8B">
        <w:t xml:space="preserve"> (</w:t>
      </w:r>
      <w:r w:rsidR="00074147" w:rsidRPr="00935F8B">
        <w:t>não</w:t>
      </w:r>
      <w:r w:rsidRPr="00935F8B">
        <w:t>)</w:t>
      </w:r>
    </w:p>
    <w:p w14:paraId="0CEE8FF5" w14:textId="77777777" w:rsidR="001B0BCD" w:rsidRPr="00A9354B" w:rsidRDefault="00A204F8" w:rsidP="000663E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</w:pPr>
      <w:r w:rsidRPr="00A9354B">
        <w:rPr>
          <w:b/>
        </w:rPr>
        <w:t>Resumo</w:t>
      </w:r>
      <w:r w:rsidRPr="00A9354B">
        <w:t xml:space="preserve">: </w:t>
      </w:r>
    </w:p>
    <w:p w14:paraId="7BC7694D" w14:textId="4FC5C8AA" w:rsidR="005C086D" w:rsidRPr="00A9354B" w:rsidRDefault="0015045C" w:rsidP="00841506">
      <w:pPr>
        <w:pStyle w:val="NormalWeb"/>
        <w:spacing w:before="0" w:beforeAutospacing="0" w:after="0" w:afterAutospacing="0"/>
        <w:jc w:val="both"/>
        <w:rPr>
          <w:bCs/>
        </w:rPr>
      </w:pPr>
      <w:r w:rsidRPr="00A9354B">
        <w:rPr>
          <w:bCs/>
        </w:rPr>
        <w:t>A pesquisa</w:t>
      </w:r>
      <w:r w:rsidR="004867D0" w:rsidRPr="00A9354B">
        <w:rPr>
          <w:bCs/>
        </w:rPr>
        <w:t xml:space="preserve"> doutoral aqui retratada encontra-se em fase inicial e</w:t>
      </w:r>
      <w:r w:rsidR="004D0330" w:rsidRPr="00A9354B">
        <w:rPr>
          <w:bCs/>
        </w:rPr>
        <w:t xml:space="preserve"> </w:t>
      </w:r>
      <w:r w:rsidR="004867D0" w:rsidRPr="00A9354B">
        <w:rPr>
          <w:bCs/>
        </w:rPr>
        <w:t xml:space="preserve">possui </w:t>
      </w:r>
      <w:r w:rsidR="004D0330" w:rsidRPr="00A9354B">
        <w:rPr>
          <w:bCs/>
        </w:rPr>
        <w:t>intenção de</w:t>
      </w:r>
      <w:r w:rsidR="00B50655" w:rsidRPr="00A9354B">
        <w:rPr>
          <w:bCs/>
        </w:rPr>
        <w:t xml:space="preserve"> </w:t>
      </w:r>
      <w:r w:rsidR="004D0330" w:rsidRPr="00A9354B">
        <w:rPr>
          <w:bCs/>
        </w:rPr>
        <w:t xml:space="preserve">discutir a inserção das tecnologias </w:t>
      </w:r>
      <w:r w:rsidR="009912DB" w:rsidRPr="00A9354B">
        <w:rPr>
          <w:bCs/>
        </w:rPr>
        <w:t>nas escolas</w:t>
      </w:r>
      <w:r w:rsidR="004D0330" w:rsidRPr="00A9354B">
        <w:rPr>
          <w:bCs/>
        </w:rPr>
        <w:t xml:space="preserve"> do Amazonas</w:t>
      </w:r>
      <w:r w:rsidR="004867D0" w:rsidRPr="00A9354B">
        <w:rPr>
          <w:bCs/>
        </w:rPr>
        <w:t>,</w:t>
      </w:r>
      <w:r w:rsidR="004D0330" w:rsidRPr="00A9354B">
        <w:rPr>
          <w:bCs/>
        </w:rPr>
        <w:t xml:space="preserve"> </w:t>
      </w:r>
      <w:r w:rsidR="001B1B39" w:rsidRPr="00A9354B">
        <w:rPr>
          <w:bCs/>
        </w:rPr>
        <w:t>a partir do olhar dos</w:t>
      </w:r>
      <w:r w:rsidR="004D0330" w:rsidRPr="00A9354B">
        <w:rPr>
          <w:bCs/>
        </w:rPr>
        <w:t xml:space="preserve"> docentes da rede estadual de ensino</w:t>
      </w:r>
      <w:r w:rsidR="00B50655" w:rsidRPr="00A9354B">
        <w:rPr>
          <w:bCs/>
        </w:rPr>
        <w:t>, analisando</w:t>
      </w:r>
      <w:r w:rsidR="001B1B39" w:rsidRPr="00A9354B">
        <w:rPr>
          <w:bCs/>
        </w:rPr>
        <w:t xml:space="preserve"> </w:t>
      </w:r>
      <w:r w:rsidR="00B50655" w:rsidRPr="00A9354B">
        <w:rPr>
          <w:bCs/>
        </w:rPr>
        <w:t xml:space="preserve">as </w:t>
      </w:r>
      <w:r w:rsidR="005262DA" w:rsidRPr="00A9354B">
        <w:rPr>
          <w:bCs/>
        </w:rPr>
        <w:t>políticas públicas federais e estaduais</w:t>
      </w:r>
      <w:r w:rsidR="001B0CA9" w:rsidRPr="00A9354B">
        <w:rPr>
          <w:bCs/>
        </w:rPr>
        <w:t xml:space="preserve">/ações de </w:t>
      </w:r>
      <w:r w:rsidR="00C16B1C" w:rsidRPr="00A9354B">
        <w:rPr>
          <w:bCs/>
        </w:rPr>
        <w:t xml:space="preserve">promoção </w:t>
      </w:r>
      <w:r w:rsidR="001B0CA9" w:rsidRPr="00A9354B">
        <w:rPr>
          <w:bCs/>
        </w:rPr>
        <w:t xml:space="preserve">das </w:t>
      </w:r>
      <w:r w:rsidR="007B1A5C" w:rsidRPr="00A9354B">
        <w:rPr>
          <w:bCs/>
        </w:rPr>
        <w:t>Tecnologias Digitais da Informação e comunicação (</w:t>
      </w:r>
      <w:r w:rsidR="001B0CA9" w:rsidRPr="00A9354B">
        <w:rPr>
          <w:bCs/>
        </w:rPr>
        <w:t>TDICs</w:t>
      </w:r>
      <w:r w:rsidR="007B1A5C" w:rsidRPr="00A9354B">
        <w:rPr>
          <w:bCs/>
        </w:rPr>
        <w:t>)</w:t>
      </w:r>
      <w:r w:rsidR="001B0CA9" w:rsidRPr="00A9354B">
        <w:rPr>
          <w:bCs/>
        </w:rPr>
        <w:t xml:space="preserve"> e</w:t>
      </w:r>
      <w:r w:rsidR="005262DA" w:rsidRPr="00A9354B">
        <w:rPr>
          <w:bCs/>
        </w:rPr>
        <w:t xml:space="preserve"> de formação docente</w:t>
      </w:r>
      <w:r w:rsidR="001B0CA9" w:rsidRPr="00A9354B">
        <w:rPr>
          <w:bCs/>
        </w:rPr>
        <w:t>,</w:t>
      </w:r>
      <w:r w:rsidR="005262DA" w:rsidRPr="00A9354B">
        <w:rPr>
          <w:bCs/>
        </w:rPr>
        <w:t xml:space="preserve"> n</w:t>
      </w:r>
      <w:r w:rsidR="001B0CA9" w:rsidRPr="00A9354B">
        <w:rPr>
          <w:bCs/>
        </w:rPr>
        <w:t>as</w:t>
      </w:r>
      <w:r w:rsidR="005262DA" w:rsidRPr="00A9354B">
        <w:rPr>
          <w:bCs/>
        </w:rPr>
        <w:t xml:space="preserve"> </w:t>
      </w:r>
      <w:r w:rsidR="001B0CA9" w:rsidRPr="00A9354B">
        <w:rPr>
          <w:bCs/>
        </w:rPr>
        <w:t>duas décadas do século XXI</w:t>
      </w:r>
      <w:r w:rsidR="005262DA" w:rsidRPr="00A9354B">
        <w:rPr>
          <w:bCs/>
        </w:rPr>
        <w:t xml:space="preserve">, para </w:t>
      </w:r>
      <w:r w:rsidR="008F11A2" w:rsidRPr="00A9354B">
        <w:rPr>
          <w:bCs/>
        </w:rPr>
        <w:t>investigar</w:t>
      </w:r>
      <w:r w:rsidR="005262DA" w:rsidRPr="00A9354B">
        <w:rPr>
          <w:bCs/>
        </w:rPr>
        <w:t xml:space="preserve"> </w:t>
      </w:r>
      <w:r w:rsidR="00967E03" w:rsidRPr="00A9354B">
        <w:rPr>
          <w:bCs/>
        </w:rPr>
        <w:t xml:space="preserve">os desafios da utilização das </w:t>
      </w:r>
      <w:r w:rsidR="005262DA" w:rsidRPr="00A9354B">
        <w:rPr>
          <w:bCs/>
        </w:rPr>
        <w:t>TDICs na prática pedagógica</w:t>
      </w:r>
      <w:r w:rsidR="00967E03" w:rsidRPr="00A9354B">
        <w:rPr>
          <w:bCs/>
        </w:rPr>
        <w:t xml:space="preserve"> no contexto amazônico</w:t>
      </w:r>
      <w:r w:rsidR="005262DA" w:rsidRPr="00A9354B">
        <w:rPr>
          <w:bCs/>
        </w:rPr>
        <w:t>,</w:t>
      </w:r>
      <w:r w:rsidR="008F11A2" w:rsidRPr="00A9354B">
        <w:rPr>
          <w:bCs/>
        </w:rPr>
        <w:t xml:space="preserve"> as problematizações das pesquisas dos programas de pós-graduação, nota 5, 6 e 7 do Brasil, da área da educação </w:t>
      </w:r>
      <w:r w:rsidR="00B87619" w:rsidRPr="00A9354B">
        <w:rPr>
          <w:bCs/>
        </w:rPr>
        <w:t xml:space="preserve">e </w:t>
      </w:r>
      <w:r w:rsidR="00C16B1C" w:rsidRPr="00A9354B">
        <w:rPr>
          <w:bCs/>
        </w:rPr>
        <w:t xml:space="preserve">as </w:t>
      </w:r>
      <w:r w:rsidR="00B87619" w:rsidRPr="00A9354B">
        <w:rPr>
          <w:bCs/>
        </w:rPr>
        <w:t xml:space="preserve">ações </w:t>
      </w:r>
      <w:r w:rsidR="00372822" w:rsidRPr="00A9354B">
        <w:rPr>
          <w:bCs/>
        </w:rPr>
        <w:t>d</w:t>
      </w:r>
      <w:r w:rsidR="00B87619" w:rsidRPr="00A9354B">
        <w:rPr>
          <w:bCs/>
        </w:rPr>
        <w:t xml:space="preserve">a </w:t>
      </w:r>
      <w:r w:rsidR="00C16B1C" w:rsidRPr="00A9354B">
        <w:rPr>
          <w:bCs/>
        </w:rPr>
        <w:t>Secretaria de Educação (</w:t>
      </w:r>
      <w:r w:rsidR="00B87619" w:rsidRPr="00A9354B">
        <w:rPr>
          <w:bCs/>
        </w:rPr>
        <w:t>SEDUC/AM</w:t>
      </w:r>
      <w:r w:rsidR="00C16B1C" w:rsidRPr="00A9354B">
        <w:rPr>
          <w:bCs/>
        </w:rPr>
        <w:t>)</w:t>
      </w:r>
      <w:r w:rsidR="00B87619" w:rsidRPr="00A9354B">
        <w:rPr>
          <w:bCs/>
        </w:rPr>
        <w:t xml:space="preserve"> </w:t>
      </w:r>
      <w:r w:rsidR="00C16B1C" w:rsidRPr="00A9354B">
        <w:rPr>
          <w:bCs/>
        </w:rPr>
        <w:t>neste campo</w:t>
      </w:r>
      <w:r w:rsidR="00B87619" w:rsidRPr="00A9354B">
        <w:rPr>
          <w:bCs/>
        </w:rPr>
        <w:t xml:space="preserve">. </w:t>
      </w:r>
      <w:r w:rsidR="006B7ACA" w:rsidRPr="00A9354B">
        <w:rPr>
          <w:bCs/>
        </w:rPr>
        <w:t xml:space="preserve">O estudo </w:t>
      </w:r>
      <w:r w:rsidR="005262DA" w:rsidRPr="00A9354B">
        <w:rPr>
          <w:bCs/>
        </w:rPr>
        <w:t>de caso</w:t>
      </w:r>
      <w:r w:rsidR="006B7ACA" w:rsidRPr="00A9354B">
        <w:rPr>
          <w:bCs/>
        </w:rPr>
        <w:t xml:space="preserve"> será a </w:t>
      </w:r>
      <w:r w:rsidR="005262DA" w:rsidRPr="00A9354B">
        <w:rPr>
          <w:bCs/>
        </w:rPr>
        <w:t>estratégia de análise do fenômeno</w:t>
      </w:r>
      <w:r w:rsidR="00B87619" w:rsidRPr="00A9354B">
        <w:rPr>
          <w:bCs/>
        </w:rPr>
        <w:t xml:space="preserve"> </w:t>
      </w:r>
      <w:r w:rsidR="004B0A7D" w:rsidRPr="00A9354B">
        <w:rPr>
          <w:bCs/>
        </w:rPr>
        <w:t xml:space="preserve">com </w:t>
      </w:r>
      <w:r w:rsidR="004B0A7D" w:rsidRPr="00A9354B">
        <w:rPr>
          <w:bCs/>
          <w:lang w:val="en-US"/>
        </w:rPr>
        <w:t>levantamento dos dados em várias</w:t>
      </w:r>
      <w:r w:rsidR="00B87619" w:rsidRPr="00A9354B">
        <w:rPr>
          <w:bCs/>
          <w:lang w:val="en-US"/>
        </w:rPr>
        <w:t xml:space="preserve"> </w:t>
      </w:r>
      <w:r w:rsidR="004B0A7D" w:rsidRPr="00A9354B">
        <w:rPr>
          <w:bCs/>
          <w:lang w:val="en-US"/>
        </w:rPr>
        <w:t>fontes</w:t>
      </w:r>
      <w:r w:rsidR="00B87619" w:rsidRPr="00A9354B">
        <w:rPr>
          <w:bCs/>
          <w:lang w:val="en-US"/>
        </w:rPr>
        <w:t xml:space="preserve"> de informação</w:t>
      </w:r>
      <w:r w:rsidR="004867D0" w:rsidRPr="00A9354B">
        <w:rPr>
          <w:bCs/>
          <w:lang w:val="en-US"/>
        </w:rPr>
        <w:t>, a saber</w:t>
      </w:r>
      <w:r w:rsidR="004B0A7D" w:rsidRPr="00A9354B">
        <w:rPr>
          <w:bCs/>
          <w:lang w:val="en-US"/>
        </w:rPr>
        <w:t xml:space="preserve">: bibliográficas, legislações, propostas </w:t>
      </w:r>
      <w:r w:rsidR="00967E03" w:rsidRPr="00A9354B">
        <w:rPr>
          <w:bCs/>
          <w:lang w:val="en-US"/>
        </w:rPr>
        <w:t>e</w:t>
      </w:r>
      <w:r w:rsidR="004B0A7D" w:rsidRPr="00A9354B">
        <w:rPr>
          <w:bCs/>
          <w:lang w:val="en-US"/>
        </w:rPr>
        <w:t xml:space="preserve"> relatórios dos cursos, trabalhos acadêmicos com estudos semelhantes, entrevistas com </w:t>
      </w:r>
      <w:r w:rsidR="00967E03" w:rsidRPr="00A9354B">
        <w:rPr>
          <w:bCs/>
          <w:lang w:val="en-US"/>
        </w:rPr>
        <w:t xml:space="preserve">gestores, gerentes, </w:t>
      </w:r>
      <w:r w:rsidR="004B0A7D" w:rsidRPr="00A9354B">
        <w:rPr>
          <w:bCs/>
          <w:lang w:val="en-US"/>
        </w:rPr>
        <w:t>professores e alunos dos cursos</w:t>
      </w:r>
      <w:r w:rsidR="004867D0" w:rsidRPr="00A9354B">
        <w:rPr>
          <w:bCs/>
          <w:lang w:val="en-US"/>
        </w:rPr>
        <w:t xml:space="preserve"> </w:t>
      </w:r>
      <w:r w:rsidR="009C3334" w:rsidRPr="00A9354B">
        <w:rPr>
          <w:bCs/>
          <w:lang w:val="en-US"/>
        </w:rPr>
        <w:t xml:space="preserve">ofertados </w:t>
      </w:r>
      <w:r w:rsidR="004867D0" w:rsidRPr="00A9354B">
        <w:rPr>
          <w:bCs/>
          <w:lang w:val="en-US"/>
        </w:rPr>
        <w:t>no estado</w:t>
      </w:r>
      <w:r w:rsidR="00A03C5E" w:rsidRPr="00A9354B">
        <w:rPr>
          <w:bCs/>
          <w:lang w:val="en-US"/>
        </w:rPr>
        <w:t xml:space="preserve">. </w:t>
      </w:r>
      <w:r w:rsidR="005262DA" w:rsidRPr="00A9354B">
        <w:rPr>
          <w:bCs/>
        </w:rPr>
        <w:t xml:space="preserve">A análise dos dados será qualitativa com base na pesquisa documental e na análise de conteúdo. </w:t>
      </w:r>
      <w:r w:rsidR="00C65794" w:rsidRPr="00A9354B">
        <w:rPr>
          <w:bCs/>
          <w:i/>
          <w:iCs/>
        </w:rPr>
        <w:t>A priori</w:t>
      </w:r>
      <w:r w:rsidR="00C65794" w:rsidRPr="00A9354B">
        <w:rPr>
          <w:bCs/>
        </w:rPr>
        <w:t xml:space="preserve">, </w:t>
      </w:r>
      <w:r w:rsidR="005C086D" w:rsidRPr="00A9354B">
        <w:rPr>
          <w:bCs/>
        </w:rPr>
        <w:t>o</w:t>
      </w:r>
      <w:r w:rsidR="00C65794" w:rsidRPr="00A9354B">
        <w:rPr>
          <w:bCs/>
        </w:rPr>
        <w:t xml:space="preserve"> </w:t>
      </w:r>
      <w:r w:rsidR="00C65794" w:rsidRPr="00A9354B">
        <w:t xml:space="preserve">referencial teórico </w:t>
      </w:r>
      <w:r w:rsidR="005C086D" w:rsidRPr="00A9354B">
        <w:t xml:space="preserve">está </w:t>
      </w:r>
      <w:r w:rsidR="00C65794" w:rsidRPr="00A9354B">
        <w:t xml:space="preserve">fundamentado </w:t>
      </w:r>
      <w:r w:rsidR="00C65794" w:rsidRPr="00A9354B">
        <w:rPr>
          <w:bCs/>
        </w:rPr>
        <w:t>nos pressupostos defendidos por estudiosos da área da educação e nas políticas públicas de formação docente, pois ainda está em fase de estruturação e definição do processo metodológico</w:t>
      </w:r>
      <w:r w:rsidR="005C086D" w:rsidRPr="00A9354B">
        <w:rPr>
          <w:bCs/>
        </w:rPr>
        <w:t>.</w:t>
      </w:r>
    </w:p>
    <w:p w14:paraId="0BE8498C" w14:textId="53B8A904" w:rsidR="000225A8" w:rsidRPr="00A9354B" w:rsidRDefault="00A204F8" w:rsidP="000663E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360" w:lineRule="auto"/>
        <w:jc w:val="both"/>
        <w:rPr>
          <w:iCs/>
        </w:rPr>
      </w:pPr>
      <w:r w:rsidRPr="00A9354B">
        <w:rPr>
          <w:b/>
        </w:rPr>
        <w:t>Palavras-chave</w:t>
      </w:r>
      <w:r w:rsidR="00F74849" w:rsidRPr="00A9354B">
        <w:t xml:space="preserve">: </w:t>
      </w:r>
      <w:r w:rsidR="000225A8" w:rsidRPr="00A9354B">
        <w:rPr>
          <w:bCs/>
        </w:rPr>
        <w:t xml:space="preserve">Política, Formação continuada, TDICs, </w:t>
      </w:r>
      <w:r w:rsidR="000225A8" w:rsidRPr="00A9354B">
        <w:rPr>
          <w:iCs/>
        </w:rPr>
        <w:t>Amazonas</w:t>
      </w:r>
      <w:r w:rsidR="004867D0" w:rsidRPr="00A9354B">
        <w:rPr>
          <w:iCs/>
        </w:rPr>
        <w:t>.</w:t>
      </w:r>
    </w:p>
    <w:p w14:paraId="0000000C" w14:textId="695A434B" w:rsidR="00B337D8" w:rsidRPr="00A9354B" w:rsidRDefault="00B337D8" w:rsidP="000663E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i/>
        </w:rPr>
      </w:pPr>
    </w:p>
    <w:p w14:paraId="0000000D" w14:textId="66588905" w:rsidR="00B337D8" w:rsidRPr="00A9354B" w:rsidRDefault="00A204F8" w:rsidP="000663E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360" w:lineRule="auto"/>
        <w:jc w:val="both"/>
        <w:rPr>
          <w:b/>
        </w:rPr>
      </w:pPr>
      <w:r w:rsidRPr="00A9354B">
        <w:rPr>
          <w:b/>
        </w:rPr>
        <w:t>INTRODUÇÃO</w:t>
      </w:r>
    </w:p>
    <w:p w14:paraId="79D77450" w14:textId="1B20ED40" w:rsidR="004A01E4" w:rsidRPr="00A9354B" w:rsidRDefault="00741127" w:rsidP="000663E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8"/>
        <w:jc w:val="both"/>
      </w:pPr>
      <w:r w:rsidRPr="00A9354B">
        <w:t xml:space="preserve">O trabalho ora proposto tem por objetivo apresentar o percurso </w:t>
      </w:r>
      <w:r w:rsidR="00AD66A0" w:rsidRPr="00A9354B">
        <w:t xml:space="preserve">dos primeiros passos </w:t>
      </w:r>
      <w:r w:rsidRPr="00A9354B">
        <w:t>do projeto de pesquisa</w:t>
      </w:r>
      <w:r w:rsidR="00FA33F2" w:rsidRPr="00A9354B">
        <w:t xml:space="preserve"> </w:t>
      </w:r>
      <w:r w:rsidR="001A51A5" w:rsidRPr="00A9354B">
        <w:t xml:space="preserve">de Doutorado </w:t>
      </w:r>
      <w:r w:rsidR="00FA33F2" w:rsidRPr="00A9354B">
        <w:t>“</w:t>
      </w:r>
      <w:r w:rsidR="00D6224E" w:rsidRPr="00A9354B">
        <w:t>Políticas públicas de promoção das TDICs na educação e os desafios amazônicos na inserção e na formação dos professores para utilização na prática pedagógica nas escolas estaduais do Amazonas</w:t>
      </w:r>
      <w:r w:rsidR="009D788D" w:rsidRPr="00A9354B">
        <w:t>”</w:t>
      </w:r>
      <w:r w:rsidR="001A51A5" w:rsidRPr="00A9354B">
        <w:t xml:space="preserve">, que </w:t>
      </w:r>
      <w:r w:rsidR="00C77BC6" w:rsidRPr="00A9354B">
        <w:t xml:space="preserve">se </w:t>
      </w:r>
      <w:r w:rsidR="001A51A5" w:rsidRPr="00A9354B">
        <w:t>encontra em desenvolvimento</w:t>
      </w:r>
      <w:r w:rsidR="003A7AD9" w:rsidRPr="00A9354B">
        <w:t xml:space="preserve"> </w:t>
      </w:r>
      <w:r w:rsidR="00FA33F2" w:rsidRPr="00A9354B">
        <w:t xml:space="preserve">no Programa </w:t>
      </w:r>
      <w:r w:rsidRPr="00A9354B">
        <w:t>de Pós-Graduação de Educação</w:t>
      </w:r>
      <w:r w:rsidR="004A01E4" w:rsidRPr="00A9354B">
        <w:t xml:space="preserve"> (PPGE) da Universidade Federal do Amazonas (UFAM)</w:t>
      </w:r>
      <w:r w:rsidR="00AD66A0" w:rsidRPr="00A9354B">
        <w:t>.</w:t>
      </w:r>
      <w:r w:rsidR="000A1EBA" w:rsidRPr="00A9354B">
        <w:t xml:space="preserve"> </w:t>
      </w:r>
    </w:p>
    <w:p w14:paraId="1827C013" w14:textId="4E45F0DF" w:rsidR="00930B67" w:rsidRPr="00A9354B" w:rsidRDefault="002A1611" w:rsidP="000663E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360" w:lineRule="auto"/>
        <w:jc w:val="both"/>
      </w:pPr>
      <w:r w:rsidRPr="00A9354B">
        <w:lastRenderedPageBreak/>
        <w:tab/>
      </w:r>
      <w:r w:rsidR="00E317D2" w:rsidRPr="007051F4">
        <w:t>O</w:t>
      </w:r>
      <w:r w:rsidR="004A01E4" w:rsidRPr="00A9354B">
        <w:t xml:space="preserve"> projeto de pesquisa </w:t>
      </w:r>
      <w:r w:rsidR="00951EF8" w:rsidRPr="00A9354B">
        <w:t>apresentado no processo de seleção d</w:t>
      </w:r>
      <w:r w:rsidR="00930B67" w:rsidRPr="00A9354B">
        <w:t xml:space="preserve">e doutorado do PPGE/UFAM, Edital n.º 023/2022-PROPESP/UFAM, intitulado </w:t>
      </w:r>
      <w:r w:rsidR="00596021" w:rsidRPr="00A9354B">
        <w:t>“</w:t>
      </w:r>
      <w:r w:rsidR="00930B67" w:rsidRPr="00A9354B">
        <w:t>Educação do futuro e inovação tecnológica: uma abordagem a partir dos cursos de formação continuada de professores no Amazonas</w:t>
      </w:r>
      <w:r w:rsidR="00596021" w:rsidRPr="00A9354B">
        <w:t>”</w:t>
      </w:r>
      <w:r w:rsidR="00930B67" w:rsidRPr="00A9354B">
        <w:t xml:space="preserve"> tinha como proposta investigar e analisar cursos de formação continuada, no âmbito de pós-graduação (</w:t>
      </w:r>
      <w:r w:rsidR="00930B67" w:rsidRPr="00A9354B">
        <w:rPr>
          <w:i/>
          <w:iCs/>
        </w:rPr>
        <w:t>lato sensu</w:t>
      </w:r>
      <w:r w:rsidR="00930B67" w:rsidRPr="00A9354B">
        <w:t xml:space="preserve"> ou </w:t>
      </w:r>
      <w:r w:rsidR="00930B67" w:rsidRPr="00A9354B">
        <w:rPr>
          <w:i/>
          <w:iCs/>
        </w:rPr>
        <w:t>stricto sensu</w:t>
      </w:r>
      <w:r w:rsidR="00930B67" w:rsidRPr="00A9354B">
        <w:t>) ofertados pela SEDUC/AM para comprovar se fomenta</w:t>
      </w:r>
      <w:r w:rsidR="000C74AB" w:rsidRPr="00A9354B">
        <w:t>vam</w:t>
      </w:r>
      <w:r w:rsidR="00930B67" w:rsidRPr="00A9354B">
        <w:t xml:space="preserve"> o uso de TDICs no fazer pedagógico com foco na promoção da educação do futuro</w:t>
      </w:r>
      <w:r w:rsidR="00A72574" w:rsidRPr="00A9354B">
        <w:t>.</w:t>
      </w:r>
    </w:p>
    <w:p w14:paraId="4F9B5B99" w14:textId="1D96B901" w:rsidR="00775AD3" w:rsidRPr="00A9354B" w:rsidRDefault="002A1611" w:rsidP="000663E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360" w:lineRule="auto"/>
        <w:jc w:val="both"/>
        <w:rPr>
          <w:bCs/>
        </w:rPr>
      </w:pPr>
      <w:r w:rsidRPr="00A9354B">
        <w:tab/>
      </w:r>
      <w:r w:rsidR="000663E3" w:rsidRPr="00A9354B">
        <w:tab/>
      </w:r>
      <w:r w:rsidR="00546276" w:rsidRPr="00A9354B">
        <w:t>Após</w:t>
      </w:r>
      <w:r w:rsidR="00930B67" w:rsidRPr="00A9354B">
        <w:t xml:space="preserve"> o ingresso no </w:t>
      </w:r>
      <w:r w:rsidR="00D0408D" w:rsidRPr="00A9354B">
        <w:t xml:space="preserve">doutorado, o projeto sofreu alterações significativas </w:t>
      </w:r>
      <w:r w:rsidR="004320C6" w:rsidRPr="00A9354B">
        <w:t>com base</w:t>
      </w:r>
      <w:r w:rsidR="00D0408D" w:rsidRPr="00A9354B">
        <w:t xml:space="preserve"> </w:t>
      </w:r>
      <w:r w:rsidR="0076051A" w:rsidRPr="00A9354B">
        <w:t>nos</w:t>
      </w:r>
      <w:r w:rsidR="005D6BF4" w:rsidRPr="00A9354B">
        <w:t xml:space="preserve"> </w:t>
      </w:r>
      <w:r w:rsidR="0076051A" w:rsidRPr="00A9354B">
        <w:t xml:space="preserve">diálogos </w:t>
      </w:r>
      <w:r w:rsidR="005D6BF4" w:rsidRPr="00A9354B">
        <w:t xml:space="preserve">com a orientadora, </w:t>
      </w:r>
      <w:r w:rsidR="0076051A" w:rsidRPr="00A9354B">
        <w:t>n</w:t>
      </w:r>
      <w:r w:rsidR="005D6BF4" w:rsidRPr="00A9354B">
        <w:t xml:space="preserve">as leituras e </w:t>
      </w:r>
      <w:r w:rsidR="0076051A" w:rsidRPr="00A9354B">
        <w:t>na</w:t>
      </w:r>
      <w:r w:rsidR="005D6BF4" w:rsidRPr="00A9354B">
        <w:t xml:space="preserve">s </w:t>
      </w:r>
      <w:r w:rsidR="0076051A" w:rsidRPr="00A9354B">
        <w:t>discussões</w:t>
      </w:r>
      <w:r w:rsidR="005D6BF4" w:rsidRPr="00A9354B">
        <w:t xml:space="preserve"> estabelecid</w:t>
      </w:r>
      <w:r w:rsidR="0076051A" w:rsidRPr="00A9354B">
        <w:t>a</w:t>
      </w:r>
      <w:r w:rsidR="005D6BF4" w:rsidRPr="00A9354B">
        <w:t>s</w:t>
      </w:r>
      <w:r w:rsidR="00BB6AD2" w:rsidRPr="00A9354B">
        <w:t xml:space="preserve"> </w:t>
      </w:r>
      <w:r w:rsidR="005D6BF4" w:rsidRPr="00A9354B">
        <w:t>nas disciplina</w:t>
      </w:r>
      <w:r w:rsidR="0084636E" w:rsidRPr="00A9354B">
        <w:t xml:space="preserve">s em curso, visíveis </w:t>
      </w:r>
      <w:r w:rsidR="0076051A" w:rsidRPr="00A9354B">
        <w:t xml:space="preserve">a partir do título do projeto, reestruturado para </w:t>
      </w:r>
      <w:r w:rsidR="00B9167B" w:rsidRPr="00A9354B">
        <w:t>“Políticas públicas de promoção das TDICs na educação e os desafios amazônicos na inserção e na formação dos professores para utilização na prática pedagógica nas escolas estaduais do Amazonas</w:t>
      </w:r>
      <w:r w:rsidR="0076051A" w:rsidRPr="00A9354B">
        <w:rPr>
          <w:bCs/>
        </w:rPr>
        <w:t>”</w:t>
      </w:r>
      <w:r w:rsidR="00AD66A0" w:rsidRPr="00A9354B">
        <w:rPr>
          <w:bCs/>
        </w:rPr>
        <w:t>,</w:t>
      </w:r>
      <w:r w:rsidR="00775AD3" w:rsidRPr="00A9354B">
        <w:rPr>
          <w:bCs/>
        </w:rPr>
        <w:t xml:space="preserve"> sem perder a essência do projeto inicial</w:t>
      </w:r>
      <w:r w:rsidR="00AD66A0" w:rsidRPr="00A9354B">
        <w:rPr>
          <w:bCs/>
        </w:rPr>
        <w:t>,</w:t>
      </w:r>
      <w:r w:rsidR="00775AD3" w:rsidRPr="00A9354B">
        <w:rPr>
          <w:bCs/>
        </w:rPr>
        <w:t xml:space="preserve"> </w:t>
      </w:r>
      <w:r w:rsidR="00AD66A0" w:rsidRPr="00A9354B">
        <w:rPr>
          <w:bCs/>
        </w:rPr>
        <w:t>ancora</w:t>
      </w:r>
      <w:r w:rsidR="007051F4">
        <w:rPr>
          <w:bCs/>
        </w:rPr>
        <w:t>do</w:t>
      </w:r>
      <w:r w:rsidR="00AD66A0" w:rsidRPr="00A9354B">
        <w:rPr>
          <w:bCs/>
        </w:rPr>
        <w:t xml:space="preserve"> n</w:t>
      </w:r>
      <w:r w:rsidR="00775AD3" w:rsidRPr="00A9354B">
        <w:rPr>
          <w:bCs/>
        </w:rPr>
        <w:t xml:space="preserve">as ações </w:t>
      </w:r>
      <w:r w:rsidR="00AD66A0" w:rsidRPr="00A9354B">
        <w:rPr>
          <w:bCs/>
        </w:rPr>
        <w:t>d</w:t>
      </w:r>
      <w:r w:rsidR="003C79DD" w:rsidRPr="00A9354B">
        <w:rPr>
          <w:bCs/>
        </w:rPr>
        <w:t>a rede estadual de educação do</w:t>
      </w:r>
      <w:r w:rsidR="008663D0" w:rsidRPr="00A9354B">
        <w:rPr>
          <w:bCs/>
        </w:rPr>
        <w:t xml:space="preserve"> Amazonas para dar conta d</w:t>
      </w:r>
      <w:r w:rsidR="00B9167B" w:rsidRPr="00A9354B">
        <w:rPr>
          <w:bCs/>
        </w:rPr>
        <w:t>a inserção</w:t>
      </w:r>
      <w:r w:rsidR="00300271" w:rsidRPr="00A9354B">
        <w:rPr>
          <w:bCs/>
        </w:rPr>
        <w:t xml:space="preserve"> </w:t>
      </w:r>
      <w:r w:rsidR="00B9167B" w:rsidRPr="00A9354B">
        <w:rPr>
          <w:bCs/>
        </w:rPr>
        <w:t xml:space="preserve">das </w:t>
      </w:r>
      <w:r w:rsidR="008663D0" w:rsidRPr="00A9354B">
        <w:t xml:space="preserve">TDICs </w:t>
      </w:r>
      <w:r w:rsidR="00B9167B" w:rsidRPr="00A9354B">
        <w:rPr>
          <w:bCs/>
        </w:rPr>
        <w:t>nas escolas</w:t>
      </w:r>
      <w:r w:rsidR="00300271" w:rsidRPr="00A9354B">
        <w:rPr>
          <w:bCs/>
        </w:rPr>
        <w:t>, fato que perpassa pela</w:t>
      </w:r>
      <w:r w:rsidR="00B9167B" w:rsidRPr="00A9354B">
        <w:rPr>
          <w:bCs/>
        </w:rPr>
        <w:t xml:space="preserve"> preparação d</w:t>
      </w:r>
      <w:r w:rsidR="00775AD3" w:rsidRPr="00A9354B">
        <w:rPr>
          <w:bCs/>
        </w:rPr>
        <w:t xml:space="preserve">o professor para </w:t>
      </w:r>
      <w:r w:rsidR="008663D0" w:rsidRPr="00A9354B">
        <w:rPr>
          <w:bCs/>
        </w:rPr>
        <w:t>utilizá-las</w:t>
      </w:r>
      <w:r w:rsidR="00775AD3" w:rsidRPr="00A9354B">
        <w:rPr>
          <w:bCs/>
        </w:rPr>
        <w:t xml:space="preserve"> </w:t>
      </w:r>
      <w:r w:rsidR="004A39C6" w:rsidRPr="00A9354B">
        <w:rPr>
          <w:bCs/>
        </w:rPr>
        <w:t xml:space="preserve">na prática </w:t>
      </w:r>
      <w:r w:rsidR="00775AD3" w:rsidRPr="00A9354B">
        <w:rPr>
          <w:bCs/>
        </w:rPr>
        <w:t>pedagógic</w:t>
      </w:r>
      <w:r w:rsidR="004A39C6" w:rsidRPr="00A9354B">
        <w:rPr>
          <w:bCs/>
        </w:rPr>
        <w:t>a</w:t>
      </w:r>
      <w:r w:rsidR="00775AD3" w:rsidRPr="00A9354B">
        <w:rPr>
          <w:bCs/>
        </w:rPr>
        <w:t xml:space="preserve">, </w:t>
      </w:r>
      <w:r w:rsidR="00BA3333" w:rsidRPr="00A9354B">
        <w:rPr>
          <w:bCs/>
        </w:rPr>
        <w:t>agora</w:t>
      </w:r>
      <w:r w:rsidR="00775AD3" w:rsidRPr="00A9354B">
        <w:rPr>
          <w:bCs/>
        </w:rPr>
        <w:t xml:space="preserve"> com uma delimitação mais precisa do objeto.</w:t>
      </w:r>
    </w:p>
    <w:p w14:paraId="75F15974" w14:textId="60570816" w:rsidR="003C79DD" w:rsidRPr="00A9354B" w:rsidRDefault="000663E3" w:rsidP="000663E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360" w:lineRule="auto"/>
        <w:jc w:val="both"/>
        <w:rPr>
          <w:bCs/>
        </w:rPr>
      </w:pPr>
      <w:r w:rsidRPr="00A9354B">
        <w:rPr>
          <w:bCs/>
        </w:rPr>
        <w:tab/>
      </w:r>
      <w:r w:rsidR="00F12A1B" w:rsidRPr="00A9354B">
        <w:rPr>
          <w:bCs/>
        </w:rPr>
        <w:t>A atual proposta de pesquisa visa analisar</w:t>
      </w:r>
      <w:r w:rsidR="00BA3333" w:rsidRPr="00A9354B">
        <w:rPr>
          <w:bCs/>
        </w:rPr>
        <w:t xml:space="preserve"> os desafios das políticas/ações estaduais na implementação das políticas públicas federais</w:t>
      </w:r>
      <w:r w:rsidR="008663D0" w:rsidRPr="00A9354B">
        <w:rPr>
          <w:bCs/>
        </w:rPr>
        <w:t xml:space="preserve"> de</w:t>
      </w:r>
      <w:r w:rsidR="00BA3333" w:rsidRPr="00A9354B">
        <w:rPr>
          <w:bCs/>
        </w:rPr>
        <w:t xml:space="preserve"> </w:t>
      </w:r>
      <w:r w:rsidR="008663D0" w:rsidRPr="00A9354B">
        <w:rPr>
          <w:bCs/>
        </w:rPr>
        <w:t>promoção das</w:t>
      </w:r>
      <w:r w:rsidR="00BA3333" w:rsidRPr="00A9354B">
        <w:rPr>
          <w:bCs/>
        </w:rPr>
        <w:t xml:space="preserve"> TDICs </w:t>
      </w:r>
      <w:r w:rsidR="008663D0" w:rsidRPr="00A9354B">
        <w:rPr>
          <w:bCs/>
        </w:rPr>
        <w:t>na educação</w:t>
      </w:r>
      <w:r w:rsidR="000C76A8" w:rsidRPr="00A9354B">
        <w:rPr>
          <w:bCs/>
        </w:rPr>
        <w:t>,</w:t>
      </w:r>
      <w:r w:rsidR="008663D0" w:rsidRPr="00A9354B">
        <w:rPr>
          <w:bCs/>
        </w:rPr>
        <w:t xml:space="preserve"> </w:t>
      </w:r>
      <w:r w:rsidR="000C76A8" w:rsidRPr="00A9354B">
        <w:rPr>
          <w:bCs/>
        </w:rPr>
        <w:t>nas duas primeiras décadas do século XXI</w:t>
      </w:r>
      <w:r w:rsidR="008663D0" w:rsidRPr="00A9354B">
        <w:rPr>
          <w:bCs/>
        </w:rPr>
        <w:t xml:space="preserve">, </w:t>
      </w:r>
      <w:r w:rsidR="003C79DD" w:rsidRPr="00A9354B">
        <w:rPr>
          <w:bCs/>
        </w:rPr>
        <w:t xml:space="preserve">nas escolas estaduais do Amazonas e na formação continuada do professor para utilizá-las na prática pedagógica </w:t>
      </w:r>
      <w:r w:rsidR="00BA3333" w:rsidRPr="00A9354B">
        <w:rPr>
          <w:bCs/>
        </w:rPr>
        <w:t xml:space="preserve">no contexto </w:t>
      </w:r>
      <w:r w:rsidR="00E11F7C">
        <w:rPr>
          <w:bCs/>
        </w:rPr>
        <w:t>amazônico.</w:t>
      </w:r>
    </w:p>
    <w:p w14:paraId="48B8F3E1" w14:textId="391E740E" w:rsidR="00AF202F" w:rsidRPr="00A9354B" w:rsidRDefault="000663E3" w:rsidP="000663E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360" w:lineRule="auto"/>
        <w:jc w:val="both"/>
      </w:pPr>
      <w:r w:rsidRPr="00A9354B">
        <w:rPr>
          <w:bCs/>
        </w:rPr>
        <w:tab/>
      </w:r>
      <w:r w:rsidR="00E11F7C">
        <w:rPr>
          <w:bCs/>
        </w:rPr>
        <w:t>O</w:t>
      </w:r>
      <w:r w:rsidR="00BA3333" w:rsidRPr="00A9354B">
        <w:rPr>
          <w:bCs/>
        </w:rPr>
        <w:t xml:space="preserve"> marco temporal de </w:t>
      </w:r>
      <w:r w:rsidR="00AC61DA" w:rsidRPr="00A9354B">
        <w:rPr>
          <w:bCs/>
        </w:rPr>
        <w:t>20</w:t>
      </w:r>
      <w:r w:rsidR="00BA3333" w:rsidRPr="00A9354B">
        <w:rPr>
          <w:bCs/>
        </w:rPr>
        <w:t xml:space="preserve"> anos </w:t>
      </w:r>
      <w:r w:rsidR="00660C6F" w:rsidRPr="00A9354B">
        <w:rPr>
          <w:bCs/>
        </w:rPr>
        <w:t>toma</w:t>
      </w:r>
      <w:r w:rsidR="003C79DD" w:rsidRPr="00A9354B">
        <w:rPr>
          <w:bCs/>
        </w:rPr>
        <w:t xml:space="preserve"> como referência</w:t>
      </w:r>
      <w:r w:rsidR="00BA3333" w:rsidRPr="00A9354B">
        <w:rPr>
          <w:bCs/>
        </w:rPr>
        <w:t xml:space="preserve"> o contexto</w:t>
      </w:r>
      <w:r w:rsidR="008E0215" w:rsidRPr="00A9354B">
        <w:rPr>
          <w:bCs/>
        </w:rPr>
        <w:t xml:space="preserve"> do início do século XXI</w:t>
      </w:r>
      <w:r w:rsidR="00BA3333" w:rsidRPr="00A9354B">
        <w:rPr>
          <w:bCs/>
        </w:rPr>
        <w:t xml:space="preserve"> </w:t>
      </w:r>
      <w:r w:rsidR="008E0215" w:rsidRPr="00A9354B">
        <w:rPr>
          <w:bCs/>
        </w:rPr>
        <w:t xml:space="preserve">no </w:t>
      </w:r>
      <w:r w:rsidR="00993CFE" w:rsidRPr="00A9354B">
        <w:rPr>
          <w:bCs/>
        </w:rPr>
        <w:t>processo</w:t>
      </w:r>
      <w:r w:rsidR="00BA3333" w:rsidRPr="00A9354B">
        <w:rPr>
          <w:bCs/>
        </w:rPr>
        <w:t xml:space="preserve"> inserção das TDICs</w:t>
      </w:r>
      <w:r w:rsidR="008E0215" w:rsidRPr="00A9354B">
        <w:rPr>
          <w:bCs/>
        </w:rPr>
        <w:t xml:space="preserve"> nas escolas</w:t>
      </w:r>
      <w:r w:rsidR="00BA3333" w:rsidRPr="00A9354B">
        <w:rPr>
          <w:bCs/>
        </w:rPr>
        <w:t xml:space="preserve"> </w:t>
      </w:r>
      <w:r w:rsidR="008E0215" w:rsidRPr="00A9354B">
        <w:rPr>
          <w:bCs/>
        </w:rPr>
        <w:t>e</w:t>
      </w:r>
      <w:r w:rsidR="00BA3333" w:rsidRPr="00A9354B">
        <w:rPr>
          <w:bCs/>
        </w:rPr>
        <w:t xml:space="preserve"> a</w:t>
      </w:r>
      <w:r w:rsidR="00BF73AD" w:rsidRPr="00A9354B">
        <w:rPr>
          <w:bCs/>
        </w:rPr>
        <w:t xml:space="preserve"> formação continuada (pós-graduação e/ou extensão) </w:t>
      </w:r>
      <w:r w:rsidR="008E0215" w:rsidRPr="00A9354B">
        <w:rPr>
          <w:bCs/>
        </w:rPr>
        <w:t>d</w:t>
      </w:r>
      <w:r w:rsidR="00E11F7C">
        <w:rPr>
          <w:bCs/>
        </w:rPr>
        <w:t>e</w:t>
      </w:r>
      <w:r w:rsidR="008E0215" w:rsidRPr="00A9354B">
        <w:rPr>
          <w:bCs/>
        </w:rPr>
        <w:t xml:space="preserve"> professor</w:t>
      </w:r>
      <w:r w:rsidR="00E11F7C">
        <w:rPr>
          <w:bCs/>
        </w:rPr>
        <w:t>es</w:t>
      </w:r>
      <w:r w:rsidR="00BA3333" w:rsidRPr="00A9354B">
        <w:rPr>
          <w:bCs/>
        </w:rPr>
        <w:t xml:space="preserve"> para sua utilização pedagógica</w:t>
      </w:r>
      <w:r w:rsidR="00A93EEB" w:rsidRPr="00A9354B">
        <w:rPr>
          <w:bCs/>
        </w:rPr>
        <w:t xml:space="preserve">, </w:t>
      </w:r>
      <w:r w:rsidR="00F06C39" w:rsidRPr="00A9354B">
        <w:rPr>
          <w:bCs/>
        </w:rPr>
        <w:t xml:space="preserve">seus </w:t>
      </w:r>
      <w:r w:rsidR="00EC53B1" w:rsidRPr="00A9354B">
        <w:rPr>
          <w:bCs/>
        </w:rPr>
        <w:t>avanços e/ou retrocessos</w:t>
      </w:r>
      <w:r w:rsidR="00A93EEB" w:rsidRPr="00A9354B">
        <w:rPr>
          <w:bCs/>
        </w:rPr>
        <w:t xml:space="preserve"> com as mudanças nas diretrizes das</w:t>
      </w:r>
      <w:r w:rsidR="003C79DD" w:rsidRPr="00A9354B">
        <w:rPr>
          <w:bCs/>
        </w:rPr>
        <w:t xml:space="preserve"> </w:t>
      </w:r>
      <w:r w:rsidR="00A93EEB" w:rsidRPr="00A9354B">
        <w:rPr>
          <w:bCs/>
        </w:rPr>
        <w:t xml:space="preserve">políticas propostas </w:t>
      </w:r>
      <w:r w:rsidR="003C79DD" w:rsidRPr="00A9354B">
        <w:rPr>
          <w:bCs/>
        </w:rPr>
        <w:t>ao longo desse tempo</w:t>
      </w:r>
      <w:r w:rsidR="00A93EEB" w:rsidRPr="00A9354B">
        <w:rPr>
          <w:bCs/>
        </w:rPr>
        <w:t xml:space="preserve">, com vistas </w:t>
      </w:r>
      <w:r w:rsidR="00BF73AD" w:rsidRPr="00A9354B">
        <w:rPr>
          <w:bCs/>
        </w:rPr>
        <w:t xml:space="preserve">à </w:t>
      </w:r>
      <w:r w:rsidR="00A93EEB" w:rsidRPr="00A9354B">
        <w:rPr>
          <w:bCs/>
        </w:rPr>
        <w:t xml:space="preserve">democratização das TDICs nas escolas </w:t>
      </w:r>
      <w:r w:rsidR="00636591" w:rsidRPr="00A9354B">
        <w:rPr>
          <w:bCs/>
        </w:rPr>
        <w:t>para atender “[...] a formação do sujeito do século XXI da sociedade em rede.”</w:t>
      </w:r>
      <w:r w:rsidR="00BB1CAF" w:rsidRPr="00A9354B">
        <w:rPr>
          <w:bCs/>
        </w:rPr>
        <w:t xml:space="preserve"> (</w:t>
      </w:r>
      <w:r w:rsidR="00E33BB2" w:rsidRPr="00A9354B">
        <w:rPr>
          <w:bCs/>
        </w:rPr>
        <w:t>LIMA;</w:t>
      </w:r>
      <w:r w:rsidR="007D6A9D" w:rsidRPr="00A9354B">
        <w:rPr>
          <w:bCs/>
        </w:rPr>
        <w:t xml:space="preserve"> </w:t>
      </w:r>
      <w:r w:rsidR="00E33BB2" w:rsidRPr="00A9354B">
        <w:rPr>
          <w:bCs/>
        </w:rPr>
        <w:t>GARCIA; MACHADO, 2022</w:t>
      </w:r>
      <w:r w:rsidR="007D6A9D" w:rsidRPr="00A9354B">
        <w:rPr>
          <w:bCs/>
        </w:rPr>
        <w:t>, p.10</w:t>
      </w:r>
      <w:r w:rsidR="00E33BB2" w:rsidRPr="00A9354B">
        <w:rPr>
          <w:bCs/>
        </w:rPr>
        <w:t>),</w:t>
      </w:r>
      <w:r w:rsidR="00636591" w:rsidRPr="00A9354B">
        <w:rPr>
          <w:bCs/>
        </w:rPr>
        <w:t xml:space="preserve"> </w:t>
      </w:r>
      <w:r w:rsidR="00636591" w:rsidRPr="00A9354B">
        <w:t>independente de suas circunstâncias socioeconômicas ou habilidades digitais</w:t>
      </w:r>
      <w:r w:rsidR="00E33BB2" w:rsidRPr="00A9354B">
        <w:t>.</w:t>
      </w:r>
    </w:p>
    <w:p w14:paraId="30D7E494" w14:textId="5DC7B163" w:rsidR="002065C4" w:rsidRPr="00A9354B" w:rsidRDefault="000663E3" w:rsidP="000663E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360" w:lineRule="auto"/>
        <w:jc w:val="both"/>
        <w:rPr>
          <w:bCs/>
        </w:rPr>
      </w:pPr>
      <w:r w:rsidRPr="00A9354B">
        <w:rPr>
          <w:bCs/>
        </w:rPr>
        <w:tab/>
      </w:r>
      <w:r w:rsidR="002E47A8">
        <w:rPr>
          <w:bCs/>
        </w:rPr>
        <w:t>A</w:t>
      </w:r>
      <w:r w:rsidR="003A7AD9" w:rsidRPr="00A9354B">
        <w:rPr>
          <w:bCs/>
        </w:rPr>
        <w:t xml:space="preserve"> </w:t>
      </w:r>
      <w:r w:rsidR="00AF202F" w:rsidRPr="00A9354B">
        <w:rPr>
          <w:bCs/>
        </w:rPr>
        <w:t xml:space="preserve">pesquisa </w:t>
      </w:r>
      <w:r w:rsidR="0015317D" w:rsidRPr="00A9354B">
        <w:rPr>
          <w:bCs/>
        </w:rPr>
        <w:t xml:space="preserve">analisará </w:t>
      </w:r>
      <w:r w:rsidR="00CB732A" w:rsidRPr="00A9354B">
        <w:rPr>
          <w:bCs/>
        </w:rPr>
        <w:t>a implementação das</w:t>
      </w:r>
      <w:r w:rsidR="00AF202F" w:rsidRPr="00A9354B">
        <w:rPr>
          <w:bCs/>
        </w:rPr>
        <w:t xml:space="preserve"> </w:t>
      </w:r>
      <w:r w:rsidR="00AF202F" w:rsidRPr="00A9354B">
        <w:t xml:space="preserve">políticas de promoção das TDICs na educação </w:t>
      </w:r>
      <w:r w:rsidR="00CB732A" w:rsidRPr="00A9354B">
        <w:t xml:space="preserve">estadual do Amazonas </w:t>
      </w:r>
      <w:r w:rsidR="00AF202F" w:rsidRPr="00A9354B">
        <w:t xml:space="preserve">frente </w:t>
      </w:r>
      <w:r w:rsidR="002E47A8" w:rsidRPr="00A9354B">
        <w:t>as desigualdades digitais amazônica</w:t>
      </w:r>
      <w:r w:rsidR="002E47A8" w:rsidRPr="00A9354B" w:rsidDel="002E47A8">
        <w:t xml:space="preserve"> </w:t>
      </w:r>
      <w:r w:rsidR="00CB732A" w:rsidRPr="00A9354B">
        <w:rPr>
          <w:bCs/>
        </w:rPr>
        <w:t xml:space="preserve">e </w:t>
      </w:r>
      <w:r w:rsidR="00656F9D" w:rsidRPr="00A9354B">
        <w:rPr>
          <w:bCs/>
        </w:rPr>
        <w:t>d</w:t>
      </w:r>
      <w:r w:rsidR="002E47A8">
        <w:rPr>
          <w:bCs/>
        </w:rPr>
        <w:t>e</w:t>
      </w:r>
      <w:r w:rsidR="00CB732A" w:rsidRPr="00A9354B">
        <w:rPr>
          <w:bCs/>
        </w:rPr>
        <w:t xml:space="preserve"> formação </w:t>
      </w:r>
      <w:r w:rsidR="00656F9D" w:rsidRPr="00A9354B">
        <w:rPr>
          <w:bCs/>
        </w:rPr>
        <w:t>de</w:t>
      </w:r>
      <w:r w:rsidR="00CB732A" w:rsidRPr="00A9354B">
        <w:rPr>
          <w:bCs/>
        </w:rPr>
        <w:t xml:space="preserve"> professores para</w:t>
      </w:r>
      <w:r w:rsidR="00A97150" w:rsidRPr="00A9354B">
        <w:rPr>
          <w:bCs/>
        </w:rPr>
        <w:t xml:space="preserve"> incorporá-las</w:t>
      </w:r>
      <w:r w:rsidR="00CB732A" w:rsidRPr="00A9354B">
        <w:rPr>
          <w:bCs/>
        </w:rPr>
        <w:t xml:space="preserve"> na pr</w:t>
      </w:r>
      <w:r w:rsidR="00AE5264" w:rsidRPr="00A9354B">
        <w:rPr>
          <w:bCs/>
        </w:rPr>
        <w:t>á</w:t>
      </w:r>
      <w:r w:rsidR="00CB732A" w:rsidRPr="00A9354B">
        <w:rPr>
          <w:bCs/>
        </w:rPr>
        <w:t>tica pedagógica</w:t>
      </w:r>
      <w:r w:rsidR="002E47A8">
        <w:t>, que é</w:t>
      </w:r>
      <w:r w:rsidR="00AE5264" w:rsidRPr="00A9354B">
        <w:rPr>
          <w:bCs/>
        </w:rPr>
        <w:t xml:space="preserve"> </w:t>
      </w:r>
      <w:r w:rsidR="00FA33F2" w:rsidRPr="00A9354B">
        <w:rPr>
          <w:bCs/>
        </w:rPr>
        <w:t>tão relevante</w:t>
      </w:r>
      <w:r w:rsidR="00AE5264" w:rsidRPr="00A9354B">
        <w:rPr>
          <w:bCs/>
        </w:rPr>
        <w:t xml:space="preserve"> para a educação</w:t>
      </w:r>
      <w:r w:rsidR="00FA33F2" w:rsidRPr="00A9354B">
        <w:rPr>
          <w:bCs/>
        </w:rPr>
        <w:t xml:space="preserve"> quanto a democratização da TDICs nas escolas públicas</w:t>
      </w:r>
      <w:r w:rsidR="00AE5264" w:rsidRPr="00A9354B">
        <w:rPr>
          <w:bCs/>
        </w:rPr>
        <w:t xml:space="preserve"> “[...] dado que essa personagem é quem medeia o processo educativo</w:t>
      </w:r>
      <w:r w:rsidR="00E11F0F" w:rsidRPr="00A9354B">
        <w:rPr>
          <w:bCs/>
        </w:rPr>
        <w:t xml:space="preserve"> [...]</w:t>
      </w:r>
      <w:r w:rsidR="00FA33F2" w:rsidRPr="00A9354B">
        <w:rPr>
          <w:bCs/>
        </w:rPr>
        <w:t>” (PINHEIRO e BORGES, P.118, 2021)</w:t>
      </w:r>
      <w:r w:rsidR="002065C4" w:rsidRPr="00A9354B">
        <w:rPr>
          <w:bCs/>
        </w:rPr>
        <w:t xml:space="preserve"> </w:t>
      </w:r>
      <w:r w:rsidR="002065C4" w:rsidRPr="00A9354B">
        <w:t>com vistas a “[...]</w:t>
      </w:r>
      <w:r w:rsidR="002065C4" w:rsidRPr="00A9354B">
        <w:rPr>
          <w:spacing w:val="1"/>
        </w:rPr>
        <w:t xml:space="preserve"> </w:t>
      </w:r>
      <w:r w:rsidR="002065C4" w:rsidRPr="00A9354B">
        <w:t>uma</w:t>
      </w:r>
      <w:r w:rsidR="002065C4" w:rsidRPr="00A9354B">
        <w:rPr>
          <w:spacing w:val="10"/>
        </w:rPr>
        <w:t xml:space="preserve"> </w:t>
      </w:r>
      <w:r w:rsidR="002065C4" w:rsidRPr="00A9354B">
        <w:t>formação</w:t>
      </w:r>
      <w:r w:rsidR="002065C4" w:rsidRPr="00A9354B">
        <w:rPr>
          <w:spacing w:val="10"/>
        </w:rPr>
        <w:t xml:space="preserve"> </w:t>
      </w:r>
      <w:r w:rsidR="002065C4" w:rsidRPr="00A9354B">
        <w:t>cidadã</w:t>
      </w:r>
      <w:r w:rsidR="002065C4" w:rsidRPr="00A9354B">
        <w:rPr>
          <w:spacing w:val="10"/>
        </w:rPr>
        <w:t xml:space="preserve"> </w:t>
      </w:r>
      <w:r w:rsidR="002065C4" w:rsidRPr="00A9354B">
        <w:t>na</w:t>
      </w:r>
      <w:r w:rsidR="002065C4" w:rsidRPr="00A9354B">
        <w:rPr>
          <w:spacing w:val="11"/>
        </w:rPr>
        <w:t xml:space="preserve"> </w:t>
      </w:r>
      <w:r w:rsidR="002065C4" w:rsidRPr="00A9354B">
        <w:t>qual</w:t>
      </w:r>
      <w:r w:rsidR="002065C4" w:rsidRPr="00A9354B">
        <w:rPr>
          <w:spacing w:val="10"/>
        </w:rPr>
        <w:t xml:space="preserve"> </w:t>
      </w:r>
      <w:r w:rsidR="002065C4" w:rsidRPr="00A9354B">
        <w:t>a</w:t>
      </w:r>
      <w:r w:rsidR="002065C4" w:rsidRPr="00A9354B">
        <w:rPr>
          <w:spacing w:val="10"/>
        </w:rPr>
        <w:t xml:space="preserve"> </w:t>
      </w:r>
      <w:r w:rsidR="002065C4" w:rsidRPr="00A9354B">
        <w:t>qualidade</w:t>
      </w:r>
      <w:r w:rsidR="002065C4" w:rsidRPr="00A9354B">
        <w:rPr>
          <w:spacing w:val="10"/>
        </w:rPr>
        <w:t xml:space="preserve"> </w:t>
      </w:r>
      <w:r w:rsidR="002065C4" w:rsidRPr="00A9354B">
        <w:t>[ou</w:t>
      </w:r>
      <w:r w:rsidR="002065C4" w:rsidRPr="00A9354B">
        <w:rPr>
          <w:spacing w:val="11"/>
        </w:rPr>
        <w:t xml:space="preserve"> </w:t>
      </w:r>
      <w:r w:rsidR="002065C4" w:rsidRPr="00A9354B">
        <w:t>o</w:t>
      </w:r>
      <w:r w:rsidR="002065C4" w:rsidRPr="00A9354B">
        <w:rPr>
          <w:spacing w:val="10"/>
        </w:rPr>
        <w:t xml:space="preserve"> </w:t>
      </w:r>
      <w:r w:rsidR="002065C4" w:rsidRPr="00A9354B">
        <w:t>educando</w:t>
      </w:r>
      <w:r w:rsidR="002065C4" w:rsidRPr="00A9354B">
        <w:rPr>
          <w:spacing w:val="10"/>
        </w:rPr>
        <w:t xml:space="preserve"> </w:t>
      </w:r>
      <w:r w:rsidR="002065C4" w:rsidRPr="00A9354B">
        <w:t>e</w:t>
      </w:r>
      <w:r w:rsidR="002065C4" w:rsidRPr="00A9354B">
        <w:rPr>
          <w:spacing w:val="10"/>
        </w:rPr>
        <w:t xml:space="preserve"> </w:t>
      </w:r>
      <w:r w:rsidR="002065C4" w:rsidRPr="00A9354B">
        <w:t>a</w:t>
      </w:r>
      <w:r w:rsidR="002065C4" w:rsidRPr="00A9354B">
        <w:rPr>
          <w:spacing w:val="11"/>
        </w:rPr>
        <w:t xml:space="preserve"> </w:t>
      </w:r>
      <w:r w:rsidR="002065C4" w:rsidRPr="00A9354B">
        <w:t>escola]</w:t>
      </w:r>
      <w:r w:rsidR="002065C4" w:rsidRPr="00A9354B">
        <w:rPr>
          <w:spacing w:val="10"/>
        </w:rPr>
        <w:t xml:space="preserve"> </w:t>
      </w:r>
      <w:r w:rsidR="002065C4" w:rsidRPr="00A9354B">
        <w:t>não</w:t>
      </w:r>
      <w:r w:rsidR="002065C4" w:rsidRPr="00A9354B">
        <w:rPr>
          <w:spacing w:val="10"/>
        </w:rPr>
        <w:t xml:space="preserve"> </w:t>
      </w:r>
      <w:r w:rsidR="002065C4" w:rsidRPr="00A9354B">
        <w:t>se</w:t>
      </w:r>
      <w:r w:rsidR="002065C4" w:rsidRPr="00A9354B">
        <w:rPr>
          <w:spacing w:val="11"/>
        </w:rPr>
        <w:t xml:space="preserve"> </w:t>
      </w:r>
      <w:r w:rsidR="002065C4" w:rsidRPr="00A9354B">
        <w:t>reduz</w:t>
      </w:r>
      <w:r w:rsidR="002065C4" w:rsidRPr="00A9354B">
        <w:rPr>
          <w:spacing w:val="-65"/>
        </w:rPr>
        <w:t xml:space="preserve"> </w:t>
      </w:r>
      <w:r w:rsidR="002065C4" w:rsidRPr="00A9354B">
        <w:t>a um índice” (SILVA; OLIVEIRA; CACAU, 2021, p. 227).</w:t>
      </w:r>
    </w:p>
    <w:p w14:paraId="67C81D6C" w14:textId="6D04F10B" w:rsidR="000E48B4" w:rsidRPr="00A9354B" w:rsidRDefault="000663E3" w:rsidP="000663E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360" w:lineRule="auto"/>
        <w:jc w:val="both"/>
      </w:pPr>
      <w:r w:rsidRPr="00A9354B">
        <w:rPr>
          <w:bCs/>
        </w:rPr>
        <w:lastRenderedPageBreak/>
        <w:tab/>
      </w:r>
      <w:r w:rsidR="002B646E" w:rsidRPr="00A9354B">
        <w:rPr>
          <w:bCs/>
        </w:rPr>
        <w:t>N</w:t>
      </w:r>
      <w:r w:rsidR="00A50EB1" w:rsidRPr="00A9354B">
        <w:rPr>
          <w:bCs/>
        </w:rPr>
        <w:t xml:space="preserve">a </w:t>
      </w:r>
      <w:r w:rsidR="002B646E" w:rsidRPr="00A9354B">
        <w:rPr>
          <w:bCs/>
        </w:rPr>
        <w:t>análise</w:t>
      </w:r>
      <w:r w:rsidR="00A50EB1" w:rsidRPr="00A9354B">
        <w:rPr>
          <w:bCs/>
        </w:rPr>
        <w:t xml:space="preserve"> dos dados,</w:t>
      </w:r>
      <w:r w:rsidR="0080355B" w:rsidRPr="00A9354B">
        <w:rPr>
          <w:bCs/>
        </w:rPr>
        <w:t xml:space="preserve"> serão </w:t>
      </w:r>
      <w:r w:rsidR="002B646E" w:rsidRPr="00A9354B">
        <w:rPr>
          <w:bCs/>
        </w:rPr>
        <w:t>discutidas</w:t>
      </w:r>
      <w:r w:rsidR="0080355B" w:rsidRPr="00A9354B">
        <w:rPr>
          <w:bCs/>
        </w:rPr>
        <w:t xml:space="preserve"> características</w:t>
      </w:r>
      <w:r w:rsidR="000E5407" w:rsidRPr="00A9354B">
        <w:t xml:space="preserve">, </w:t>
      </w:r>
      <w:r w:rsidR="00164DD8" w:rsidRPr="00A9354B">
        <w:t>peculiaridades</w:t>
      </w:r>
      <w:r w:rsidR="000E5407" w:rsidRPr="00A9354B">
        <w:t xml:space="preserve"> e especificidades</w:t>
      </w:r>
      <w:r w:rsidR="00164DD8" w:rsidRPr="00A9354B">
        <w:t xml:space="preserve"> </w:t>
      </w:r>
      <w:r w:rsidR="0080355B" w:rsidRPr="00A9354B">
        <w:rPr>
          <w:bCs/>
        </w:rPr>
        <w:t xml:space="preserve">do Amazonas </w:t>
      </w:r>
      <w:r w:rsidR="00D6224E" w:rsidRPr="00A9354B">
        <w:rPr>
          <w:bCs/>
        </w:rPr>
        <w:t>no processo de inserção das TDICs nas escolas e</w:t>
      </w:r>
      <w:r w:rsidR="003F72CA" w:rsidRPr="00A9354B">
        <w:rPr>
          <w:bCs/>
        </w:rPr>
        <w:t xml:space="preserve"> </w:t>
      </w:r>
      <w:r w:rsidR="00D6224E" w:rsidRPr="00A9354B">
        <w:rPr>
          <w:bCs/>
        </w:rPr>
        <w:t>de</w:t>
      </w:r>
      <w:r w:rsidR="003F72CA" w:rsidRPr="00A9354B">
        <w:rPr>
          <w:bCs/>
        </w:rPr>
        <w:t xml:space="preserve"> formação continuada do</w:t>
      </w:r>
      <w:r w:rsidR="0015317D" w:rsidRPr="00A9354B">
        <w:rPr>
          <w:bCs/>
        </w:rPr>
        <w:t>s</w:t>
      </w:r>
      <w:r w:rsidR="003F72CA" w:rsidRPr="00A9354B">
        <w:rPr>
          <w:bCs/>
        </w:rPr>
        <w:t xml:space="preserve"> professor</w:t>
      </w:r>
      <w:r w:rsidR="0015317D" w:rsidRPr="00A9354B">
        <w:rPr>
          <w:bCs/>
        </w:rPr>
        <w:t>es</w:t>
      </w:r>
      <w:r w:rsidR="004F2813" w:rsidRPr="00A9354B">
        <w:rPr>
          <w:bCs/>
        </w:rPr>
        <w:t xml:space="preserve">, </w:t>
      </w:r>
      <w:r w:rsidR="00385CBA" w:rsidRPr="00A9354B">
        <w:rPr>
          <w:bCs/>
        </w:rPr>
        <w:t>considerando</w:t>
      </w:r>
      <w:r w:rsidR="00A9353A" w:rsidRPr="00A9354B">
        <w:rPr>
          <w:bCs/>
        </w:rPr>
        <w:t xml:space="preserve"> a realidade social do século XXI quanto </w:t>
      </w:r>
      <w:r w:rsidR="006301F2" w:rsidRPr="00A9354B">
        <w:rPr>
          <w:bCs/>
        </w:rPr>
        <w:t xml:space="preserve">à </w:t>
      </w:r>
      <w:r w:rsidR="00A9353A" w:rsidRPr="00A9354B">
        <w:rPr>
          <w:bCs/>
        </w:rPr>
        <w:t>acessibilidade e</w:t>
      </w:r>
      <w:r w:rsidR="00385CBA" w:rsidRPr="00A9354B">
        <w:rPr>
          <w:bCs/>
        </w:rPr>
        <w:t xml:space="preserve"> </w:t>
      </w:r>
      <w:r w:rsidR="006301F2" w:rsidRPr="00A9354B">
        <w:rPr>
          <w:bCs/>
        </w:rPr>
        <w:t xml:space="preserve">à </w:t>
      </w:r>
      <w:r w:rsidR="001C7DDF" w:rsidRPr="00A9354B">
        <w:rPr>
          <w:bCs/>
        </w:rPr>
        <w:t>sistemática da</w:t>
      </w:r>
      <w:r w:rsidR="00385CBA" w:rsidRPr="00A9354B">
        <w:rPr>
          <w:bCs/>
        </w:rPr>
        <w:t xml:space="preserve"> </w:t>
      </w:r>
      <w:r w:rsidR="000E48B4" w:rsidRPr="00A9354B">
        <w:rPr>
          <w:bCs/>
        </w:rPr>
        <w:t>democratização das tecnologias nas escolas</w:t>
      </w:r>
      <w:r w:rsidR="001C7DDF" w:rsidRPr="00A9354B">
        <w:rPr>
          <w:bCs/>
        </w:rPr>
        <w:t xml:space="preserve"> estaduais do Amazonas</w:t>
      </w:r>
      <w:r w:rsidR="003169C0">
        <w:rPr>
          <w:bCs/>
        </w:rPr>
        <w:t xml:space="preserve">, </w:t>
      </w:r>
      <w:r w:rsidR="00F53F82" w:rsidRPr="00A9354B">
        <w:t>visando a promoção da “‘competência humana’, que se fabrica sobretudo para manejo crítico e criativo da educação e do conhecimento” (DEMO, 1998, p. 68)</w:t>
      </w:r>
      <w:r w:rsidR="00155C67" w:rsidRPr="00A9354B">
        <w:t>.</w:t>
      </w:r>
    </w:p>
    <w:p w14:paraId="27BF3351" w14:textId="706892C6" w:rsidR="00DF78C1" w:rsidRPr="00A9354B" w:rsidRDefault="000663E3" w:rsidP="00DF78C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360" w:lineRule="auto"/>
        <w:jc w:val="both"/>
      </w:pPr>
      <w:r w:rsidRPr="00A9354B">
        <w:tab/>
      </w:r>
      <w:r w:rsidR="00A50EB1" w:rsidRPr="00A9354B">
        <w:t>O</w:t>
      </w:r>
      <w:r w:rsidR="00144BE1" w:rsidRPr="00A9354B">
        <w:t xml:space="preserve"> aporte teórico </w:t>
      </w:r>
      <w:r w:rsidR="00A50EB1" w:rsidRPr="00A9354B">
        <w:t>da pesquisa, neste primeiro momento</w:t>
      </w:r>
      <w:r w:rsidR="00AE342A" w:rsidRPr="00A9354B">
        <w:t>,</w:t>
      </w:r>
      <w:r w:rsidR="00A50EB1" w:rsidRPr="00A9354B">
        <w:t xml:space="preserve"> </w:t>
      </w:r>
      <w:r w:rsidR="00144BE1" w:rsidRPr="00A9354B">
        <w:t xml:space="preserve">está embasado em estudiosos </w:t>
      </w:r>
      <w:r w:rsidR="00AE342A" w:rsidRPr="00A9354B">
        <w:t xml:space="preserve">como Tardif (2010), Pimenta (1999) e Saviani (1996), que entendem que a formação continuada </w:t>
      </w:r>
      <w:r w:rsidR="008657C1" w:rsidRPr="00A9354B">
        <w:t xml:space="preserve">para </w:t>
      </w:r>
      <w:r w:rsidR="00AE342A" w:rsidRPr="00A9354B">
        <w:t>impactar positivamente a prática docente precisa perpassar pela compreensão do ato de ensinar, da construção da identidade docente e da valorização do professor frente a uma sociedade em constante transformação e estar fundamentada “na prática de analisar a prática” (FREIRE, 2001, p. 37) e incentivar os professores a “[...] irem construindo seus saberes fazeres docentes, a partir das necessidades e desafios que o ensino, como prática social, lhes coloca no cotidiano” (PIMENTA, 1999, p. 29).</w:t>
      </w:r>
      <w:r w:rsidR="008657C1" w:rsidRPr="00A9354B">
        <w:t xml:space="preserve"> </w:t>
      </w:r>
    </w:p>
    <w:p w14:paraId="0ABA4A90" w14:textId="3B4E0024" w:rsidR="00144BE1" w:rsidRPr="00A9354B" w:rsidRDefault="00144BE1" w:rsidP="000663E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360" w:lineRule="auto"/>
        <w:jc w:val="both"/>
      </w:pPr>
    </w:p>
    <w:p w14:paraId="7CBA8C09" w14:textId="23D9467F" w:rsidR="00F74849" w:rsidRPr="00A9354B" w:rsidRDefault="00F74849" w:rsidP="000663E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360" w:lineRule="auto"/>
        <w:jc w:val="both"/>
        <w:rPr>
          <w:b/>
        </w:rPr>
      </w:pPr>
      <w:r w:rsidRPr="00A9354B">
        <w:rPr>
          <w:b/>
        </w:rPr>
        <w:t>METODOLOGIA</w:t>
      </w:r>
    </w:p>
    <w:p w14:paraId="4462A169" w14:textId="2F47BCFA" w:rsidR="006E1711" w:rsidRPr="00A9354B" w:rsidRDefault="000663E3" w:rsidP="000663E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360" w:lineRule="auto"/>
        <w:jc w:val="both"/>
        <w:rPr>
          <w:bCs/>
        </w:rPr>
      </w:pPr>
      <w:r w:rsidRPr="00A9354B">
        <w:tab/>
      </w:r>
      <w:r w:rsidR="00475E42" w:rsidRPr="00A9354B">
        <w:t xml:space="preserve">O </w:t>
      </w:r>
      <w:r w:rsidR="00A73071" w:rsidRPr="00A9354B">
        <w:t>processo</w:t>
      </w:r>
      <w:r w:rsidR="00A119F4" w:rsidRPr="00A9354B">
        <w:t xml:space="preserve"> teórico-</w:t>
      </w:r>
      <w:r w:rsidR="00F97BB3" w:rsidRPr="00A9354B">
        <w:t>metodológico da</w:t>
      </w:r>
      <w:r w:rsidR="006E1711" w:rsidRPr="00A9354B">
        <w:t xml:space="preserve"> pesquisa </w:t>
      </w:r>
      <w:r w:rsidR="00475E42" w:rsidRPr="00A9354B">
        <w:t>utilizará</w:t>
      </w:r>
      <w:r w:rsidR="006E1711" w:rsidRPr="00A9354B">
        <w:t xml:space="preserve"> o estudo de caso, por se tratar de um método que possibilita investigar “fenômenos contemporâneos inseridos em algum contexto da vida real” (YIN, 2001, p.19), como </w:t>
      </w:r>
      <w:r w:rsidR="00475E42" w:rsidRPr="00A9354B">
        <w:t>nesta</w:t>
      </w:r>
      <w:r w:rsidR="006E1711" w:rsidRPr="00A9354B">
        <w:t xml:space="preserve"> proposta em que se pretende investigar </w:t>
      </w:r>
      <w:r w:rsidR="00876B71">
        <w:t>as</w:t>
      </w:r>
      <w:r w:rsidR="00D07ED3">
        <w:t xml:space="preserve"> </w:t>
      </w:r>
      <w:r w:rsidR="00A73071" w:rsidRPr="00A9354B">
        <w:rPr>
          <w:bCs/>
        </w:rPr>
        <w:t>políticas/ações estaduais na promoção das TDICs na educação, nas duas décadas do século XXI, nas escolas estaduais do Amazonas e a formação continuada d</w:t>
      </w:r>
      <w:r w:rsidR="00876B71">
        <w:rPr>
          <w:bCs/>
        </w:rPr>
        <w:t>e</w:t>
      </w:r>
      <w:r w:rsidR="00A73071" w:rsidRPr="00A9354B">
        <w:rPr>
          <w:bCs/>
        </w:rPr>
        <w:t xml:space="preserve"> professor</w:t>
      </w:r>
      <w:r w:rsidR="00876B71">
        <w:rPr>
          <w:bCs/>
        </w:rPr>
        <w:t>es</w:t>
      </w:r>
      <w:r w:rsidR="00A73071" w:rsidRPr="00A9354B">
        <w:rPr>
          <w:bCs/>
        </w:rPr>
        <w:t xml:space="preserve"> para </w:t>
      </w:r>
      <w:r w:rsidR="00876B71">
        <w:rPr>
          <w:bCs/>
        </w:rPr>
        <w:t>uso</w:t>
      </w:r>
      <w:r w:rsidR="00A73071" w:rsidRPr="00A9354B">
        <w:rPr>
          <w:bCs/>
        </w:rPr>
        <w:t xml:space="preserve"> na prática pedagógica no contexto </w:t>
      </w:r>
      <w:r w:rsidR="00475E42" w:rsidRPr="00A9354B">
        <w:rPr>
          <w:bCs/>
        </w:rPr>
        <w:t>amazônico</w:t>
      </w:r>
      <w:r w:rsidR="001855B1" w:rsidRPr="00A9354B">
        <w:rPr>
          <w:bCs/>
        </w:rPr>
        <w:t xml:space="preserve">, </w:t>
      </w:r>
      <w:r w:rsidR="006E1711" w:rsidRPr="00A9354B">
        <w:t>“de maneira a permitir o seu conhecimento amplo e detalhado” (GIL, 2008, p. 57 – 58)</w:t>
      </w:r>
      <w:r w:rsidR="00A73071" w:rsidRPr="00A9354B">
        <w:t xml:space="preserve"> em uma abordagem qualitativa, </w:t>
      </w:r>
      <w:r w:rsidR="00475E42" w:rsidRPr="00A9354B">
        <w:t xml:space="preserve">conjugando </w:t>
      </w:r>
      <w:r w:rsidR="006E1711" w:rsidRPr="00A9354B">
        <w:t xml:space="preserve"> “várias fontes de evidências” (YIN, 2001, p.105).</w:t>
      </w:r>
    </w:p>
    <w:p w14:paraId="781A486B" w14:textId="5E26D7F7" w:rsidR="009A4389" w:rsidRPr="00A9354B" w:rsidRDefault="00D07ED3" w:rsidP="00B8627F">
      <w:pPr>
        <w:spacing w:before="120" w:after="120" w:line="360" w:lineRule="auto"/>
        <w:ind w:firstLine="709"/>
        <w:jc w:val="both"/>
        <w:rPr>
          <w:bCs/>
        </w:rPr>
      </w:pPr>
      <w:r>
        <w:t>No</w:t>
      </w:r>
      <w:r w:rsidR="006E1711" w:rsidRPr="00A9354B">
        <w:t xml:space="preserve"> percurso metodológico será construído um </w:t>
      </w:r>
      <w:r w:rsidR="006E1711" w:rsidRPr="00A9354B">
        <w:rPr>
          <w:i/>
          <w:iCs/>
        </w:rPr>
        <w:t xml:space="preserve">copus </w:t>
      </w:r>
      <w:r w:rsidR="006E1711" w:rsidRPr="00A9354B">
        <w:t xml:space="preserve">documental representativo </w:t>
      </w:r>
      <w:r w:rsidR="009A4389" w:rsidRPr="00A9354B">
        <w:t xml:space="preserve">da investigação em documentos oficiais </w:t>
      </w:r>
      <w:r>
        <w:t>federais e estaduais</w:t>
      </w:r>
      <w:r w:rsidR="000C4917">
        <w:t xml:space="preserve"> (</w:t>
      </w:r>
      <w:r w:rsidR="000C4917" w:rsidRPr="00A9354B">
        <w:rPr>
          <w:bCs/>
          <w:lang w:val="en-US"/>
        </w:rPr>
        <w:t>legislações, propostas e relatórios dos cursos</w:t>
      </w:r>
      <w:r w:rsidR="000C4917">
        <w:rPr>
          <w:bCs/>
          <w:lang w:val="en-US"/>
        </w:rPr>
        <w:t>)</w:t>
      </w:r>
      <w:r w:rsidR="009A4389" w:rsidRPr="00A9354B">
        <w:t xml:space="preserve">, teses e dissertações </w:t>
      </w:r>
      <w:r w:rsidR="003522CD" w:rsidRPr="00A9354B">
        <w:rPr>
          <w:bCs/>
        </w:rPr>
        <w:t xml:space="preserve">dos </w:t>
      </w:r>
      <w:r w:rsidR="009A4389" w:rsidRPr="00A9354B">
        <w:rPr>
          <w:bCs/>
        </w:rPr>
        <w:t xml:space="preserve">programas de pós-graduação, de nota 5, 6 e 7, </w:t>
      </w:r>
      <w:r w:rsidR="005C6643" w:rsidRPr="00A9354B">
        <w:rPr>
          <w:bCs/>
        </w:rPr>
        <w:t>referentes a inserção das TDICs nas escolas e a formação continuada de professores,</w:t>
      </w:r>
      <w:r w:rsidR="009A4389" w:rsidRPr="00A9354B">
        <w:rPr>
          <w:bCs/>
        </w:rPr>
        <w:t xml:space="preserve"> em artigos científicos e livros (nacionais e internacionais) e outros materiais acadêmicos relacionados ao tema</w:t>
      </w:r>
      <w:r w:rsidR="005C6643" w:rsidRPr="00A9354B">
        <w:rPr>
          <w:bCs/>
        </w:rPr>
        <w:t>, dos últimos 5 anos,</w:t>
      </w:r>
      <w:r w:rsidR="009A4389" w:rsidRPr="00A9354B">
        <w:rPr>
          <w:bCs/>
        </w:rPr>
        <w:t xml:space="preserve"> para mapear e analisar as principais teorias, conceitos, abordagens metodológicas, problematizações, resultados e tendências na área do estudo</w:t>
      </w:r>
      <w:r w:rsidR="00A3742C" w:rsidRPr="00A9354B">
        <w:rPr>
          <w:bCs/>
        </w:rPr>
        <w:t>.</w:t>
      </w:r>
    </w:p>
    <w:p w14:paraId="11B1E19C" w14:textId="1AF092D1" w:rsidR="0091476D" w:rsidRPr="00A9354B" w:rsidRDefault="00A3742C" w:rsidP="00C77BC6">
      <w:pPr>
        <w:pStyle w:val="Corpodetexto"/>
        <w:spacing w:before="120" w:after="120" w:line="360" w:lineRule="auto"/>
        <w:ind w:left="119" w:right="128" w:firstLine="590"/>
        <w:jc w:val="both"/>
        <w:rPr>
          <w:rFonts w:ascii="Times New Roman" w:hAnsi="Times New Roman" w:cs="Times New Roman"/>
        </w:rPr>
      </w:pPr>
      <w:r w:rsidRPr="00A9354B">
        <w:rPr>
          <w:rFonts w:ascii="Times New Roman" w:hAnsi="Times New Roman" w:cs="Times New Roman"/>
          <w:bCs/>
        </w:rPr>
        <w:t>Além dos dados coletados nas fontes descritas, também</w:t>
      </w:r>
      <w:r w:rsidR="00E07E90" w:rsidRPr="00A9354B">
        <w:rPr>
          <w:rFonts w:ascii="Times New Roman" w:hAnsi="Times New Roman" w:cs="Times New Roman"/>
          <w:bCs/>
        </w:rPr>
        <w:t xml:space="preserve"> serão realizadas entrevistas </w:t>
      </w:r>
      <w:r w:rsidR="00E07E90" w:rsidRPr="00A9354B">
        <w:rPr>
          <w:rFonts w:ascii="Times New Roman" w:hAnsi="Times New Roman" w:cs="Times New Roman"/>
          <w:bCs/>
        </w:rPr>
        <w:lastRenderedPageBreak/>
        <w:t xml:space="preserve">com perguntas abertas e fechadas com </w:t>
      </w:r>
      <w:r w:rsidR="00E07E90" w:rsidRPr="00A9354B">
        <w:rPr>
          <w:rFonts w:ascii="Times New Roman" w:hAnsi="Times New Roman" w:cs="Times New Roman"/>
        </w:rPr>
        <w:t xml:space="preserve">a diretora e </w:t>
      </w:r>
      <w:r w:rsidR="003522CD" w:rsidRPr="00A9354B">
        <w:rPr>
          <w:rFonts w:ascii="Times New Roman" w:hAnsi="Times New Roman" w:cs="Times New Roman"/>
        </w:rPr>
        <w:t xml:space="preserve">a </w:t>
      </w:r>
      <w:r w:rsidR="00E07E90" w:rsidRPr="00A9354B">
        <w:rPr>
          <w:rFonts w:ascii="Times New Roman" w:hAnsi="Times New Roman" w:cs="Times New Roman"/>
        </w:rPr>
        <w:t>gerente de formação do</w:t>
      </w:r>
      <w:r w:rsidR="00C07212" w:rsidRPr="00A9354B">
        <w:rPr>
          <w:rFonts w:ascii="Times New Roman" w:hAnsi="Times New Roman" w:cs="Times New Roman"/>
        </w:rPr>
        <w:t xml:space="preserve"> </w:t>
      </w:r>
      <w:r w:rsidR="003522CD" w:rsidRPr="00A9354B">
        <w:rPr>
          <w:rFonts w:ascii="Times New Roman" w:hAnsi="Times New Roman" w:cs="Times New Roman"/>
        </w:rPr>
        <w:t xml:space="preserve">Centro de </w:t>
      </w:r>
      <w:r w:rsidR="00C07212" w:rsidRPr="00935F8B">
        <w:rPr>
          <w:rFonts w:ascii="Times New Roman" w:hAnsi="Times New Roman" w:cs="Times New Roman"/>
        </w:rPr>
        <w:t>Formação Profissional Pe. José Anchieta</w:t>
      </w:r>
      <w:r w:rsidR="00E07E90" w:rsidRPr="00A9354B">
        <w:rPr>
          <w:rFonts w:ascii="Times New Roman" w:hAnsi="Times New Roman" w:cs="Times New Roman"/>
        </w:rPr>
        <w:t xml:space="preserve"> </w:t>
      </w:r>
      <w:r w:rsidR="00C07212" w:rsidRPr="00A9354B">
        <w:rPr>
          <w:rFonts w:ascii="Times New Roman" w:hAnsi="Times New Roman" w:cs="Times New Roman"/>
        </w:rPr>
        <w:t>(</w:t>
      </w:r>
      <w:r w:rsidR="00E07E90" w:rsidRPr="00A9354B">
        <w:rPr>
          <w:rFonts w:ascii="Times New Roman" w:hAnsi="Times New Roman" w:cs="Times New Roman"/>
        </w:rPr>
        <w:t>CEPAN</w:t>
      </w:r>
      <w:r w:rsidR="00C07212" w:rsidRPr="00A9354B">
        <w:rPr>
          <w:rFonts w:ascii="Times New Roman" w:hAnsi="Times New Roman" w:cs="Times New Roman"/>
        </w:rPr>
        <w:t>)</w:t>
      </w:r>
      <w:r w:rsidR="00E07E90" w:rsidRPr="00A9354B">
        <w:rPr>
          <w:rFonts w:ascii="Times New Roman" w:hAnsi="Times New Roman" w:cs="Times New Roman"/>
        </w:rPr>
        <w:t xml:space="preserve">, professores e alunos professores dos cursos de formação continuada para uso de TDICs </w:t>
      </w:r>
      <w:r w:rsidR="0091476D" w:rsidRPr="00A9354B">
        <w:rPr>
          <w:rFonts w:ascii="Times New Roman" w:hAnsi="Times New Roman" w:cs="Times New Roman"/>
        </w:rPr>
        <w:t>“para</w:t>
      </w:r>
      <w:r w:rsidR="0091476D" w:rsidRPr="00A9354B">
        <w:rPr>
          <w:rFonts w:ascii="Times New Roman" w:hAnsi="Times New Roman" w:cs="Times New Roman"/>
          <w:spacing w:val="1"/>
        </w:rPr>
        <w:t xml:space="preserve"> </w:t>
      </w:r>
      <w:r w:rsidR="0091476D" w:rsidRPr="00A9354B">
        <w:rPr>
          <w:rFonts w:ascii="Times New Roman" w:hAnsi="Times New Roman" w:cs="Times New Roman"/>
        </w:rPr>
        <w:t>obter</w:t>
      </w:r>
      <w:r w:rsidR="0091476D" w:rsidRPr="00A9354B">
        <w:rPr>
          <w:rFonts w:ascii="Times New Roman" w:hAnsi="Times New Roman" w:cs="Times New Roman"/>
          <w:spacing w:val="1"/>
        </w:rPr>
        <w:t xml:space="preserve"> </w:t>
      </w:r>
      <w:r w:rsidR="0091476D" w:rsidRPr="00A9354B">
        <w:rPr>
          <w:rFonts w:ascii="Times New Roman" w:hAnsi="Times New Roman" w:cs="Times New Roman"/>
        </w:rPr>
        <w:t>dados</w:t>
      </w:r>
      <w:r w:rsidR="0091476D" w:rsidRPr="00A9354B">
        <w:rPr>
          <w:rFonts w:ascii="Times New Roman" w:hAnsi="Times New Roman" w:cs="Times New Roman"/>
          <w:spacing w:val="1"/>
        </w:rPr>
        <w:t xml:space="preserve"> </w:t>
      </w:r>
      <w:r w:rsidR="0091476D" w:rsidRPr="00A9354B">
        <w:rPr>
          <w:rFonts w:ascii="Times New Roman" w:hAnsi="Times New Roman" w:cs="Times New Roman"/>
        </w:rPr>
        <w:t>objetivos e subjetivos na fala dos atores sociais”</w:t>
      </w:r>
      <w:r w:rsidR="0091476D" w:rsidRPr="00A9354B">
        <w:rPr>
          <w:rFonts w:ascii="Times New Roman" w:hAnsi="Times New Roman" w:cs="Times New Roman"/>
          <w:spacing w:val="1"/>
        </w:rPr>
        <w:t xml:space="preserve"> </w:t>
      </w:r>
      <w:r w:rsidR="0091476D" w:rsidRPr="00A9354B">
        <w:rPr>
          <w:rFonts w:ascii="Times New Roman" w:hAnsi="Times New Roman" w:cs="Times New Roman"/>
        </w:rPr>
        <w:t>(BRITO, 2016, p. 59), que “[...]</w:t>
      </w:r>
      <w:r w:rsidR="0091476D" w:rsidRPr="00A9354B">
        <w:rPr>
          <w:rFonts w:ascii="Times New Roman" w:hAnsi="Times New Roman" w:cs="Times New Roman"/>
          <w:spacing w:val="1"/>
        </w:rPr>
        <w:t xml:space="preserve"> </w:t>
      </w:r>
      <w:r w:rsidR="0091476D" w:rsidRPr="00A9354B">
        <w:rPr>
          <w:rFonts w:ascii="Times New Roman" w:hAnsi="Times New Roman" w:cs="Times New Roman"/>
        </w:rPr>
        <w:t>permitam</w:t>
      </w:r>
      <w:r w:rsidR="0091476D" w:rsidRPr="00A9354B">
        <w:rPr>
          <w:rFonts w:ascii="Times New Roman" w:hAnsi="Times New Roman" w:cs="Times New Roman"/>
          <w:spacing w:val="1"/>
        </w:rPr>
        <w:t xml:space="preserve"> </w:t>
      </w:r>
      <w:r w:rsidR="0091476D" w:rsidRPr="00A9354B">
        <w:rPr>
          <w:rFonts w:ascii="Times New Roman" w:hAnsi="Times New Roman" w:cs="Times New Roman"/>
        </w:rPr>
        <w:t>descrever</w:t>
      </w:r>
      <w:r w:rsidR="0091476D" w:rsidRPr="00A9354B">
        <w:rPr>
          <w:rFonts w:ascii="Times New Roman" w:hAnsi="Times New Roman" w:cs="Times New Roman"/>
          <w:spacing w:val="1"/>
        </w:rPr>
        <w:t xml:space="preserve"> </w:t>
      </w:r>
      <w:r w:rsidR="0091476D" w:rsidRPr="00A9354B">
        <w:rPr>
          <w:rFonts w:ascii="Times New Roman" w:hAnsi="Times New Roman" w:cs="Times New Roman"/>
        </w:rPr>
        <w:t>e</w:t>
      </w:r>
      <w:r w:rsidR="0091476D" w:rsidRPr="00A9354B">
        <w:rPr>
          <w:rFonts w:ascii="Times New Roman" w:hAnsi="Times New Roman" w:cs="Times New Roman"/>
          <w:spacing w:val="1"/>
        </w:rPr>
        <w:t xml:space="preserve"> </w:t>
      </w:r>
      <w:r w:rsidR="0091476D" w:rsidRPr="00A9354B">
        <w:rPr>
          <w:rFonts w:ascii="Times New Roman" w:hAnsi="Times New Roman" w:cs="Times New Roman"/>
        </w:rPr>
        <w:t>compreender</w:t>
      </w:r>
      <w:r w:rsidR="0091476D" w:rsidRPr="00A9354B">
        <w:rPr>
          <w:rFonts w:ascii="Times New Roman" w:hAnsi="Times New Roman" w:cs="Times New Roman"/>
          <w:spacing w:val="1"/>
        </w:rPr>
        <w:t xml:space="preserve"> </w:t>
      </w:r>
      <w:r w:rsidR="0091476D" w:rsidRPr="00A9354B">
        <w:rPr>
          <w:rFonts w:ascii="Times New Roman" w:hAnsi="Times New Roman" w:cs="Times New Roman"/>
        </w:rPr>
        <w:t>a</w:t>
      </w:r>
      <w:r w:rsidR="0091476D" w:rsidRPr="00A9354B">
        <w:rPr>
          <w:rFonts w:ascii="Times New Roman" w:hAnsi="Times New Roman" w:cs="Times New Roman"/>
          <w:spacing w:val="1"/>
        </w:rPr>
        <w:t xml:space="preserve"> </w:t>
      </w:r>
      <w:r w:rsidR="0091476D" w:rsidRPr="00A9354B">
        <w:rPr>
          <w:rFonts w:ascii="Times New Roman" w:hAnsi="Times New Roman" w:cs="Times New Roman"/>
        </w:rPr>
        <w:t>lógica</w:t>
      </w:r>
      <w:r w:rsidR="0091476D" w:rsidRPr="00A9354B">
        <w:rPr>
          <w:rFonts w:ascii="Times New Roman" w:hAnsi="Times New Roman" w:cs="Times New Roman"/>
          <w:spacing w:val="1"/>
        </w:rPr>
        <w:t xml:space="preserve"> </w:t>
      </w:r>
      <w:r w:rsidR="0091476D" w:rsidRPr="00A9354B">
        <w:rPr>
          <w:rFonts w:ascii="Times New Roman" w:hAnsi="Times New Roman" w:cs="Times New Roman"/>
        </w:rPr>
        <w:t>que</w:t>
      </w:r>
      <w:r w:rsidR="0091476D" w:rsidRPr="00A9354B">
        <w:rPr>
          <w:rFonts w:ascii="Times New Roman" w:hAnsi="Times New Roman" w:cs="Times New Roman"/>
          <w:spacing w:val="1"/>
        </w:rPr>
        <w:t xml:space="preserve"> </w:t>
      </w:r>
      <w:r w:rsidR="0091476D" w:rsidRPr="00A9354B">
        <w:rPr>
          <w:rFonts w:ascii="Times New Roman" w:hAnsi="Times New Roman" w:cs="Times New Roman"/>
        </w:rPr>
        <w:t>preside</w:t>
      </w:r>
      <w:r w:rsidR="0091476D" w:rsidRPr="00A9354B">
        <w:rPr>
          <w:rFonts w:ascii="Times New Roman" w:hAnsi="Times New Roman" w:cs="Times New Roman"/>
          <w:spacing w:val="1"/>
        </w:rPr>
        <w:t xml:space="preserve"> </w:t>
      </w:r>
      <w:r w:rsidR="0091476D" w:rsidRPr="00A9354B">
        <w:rPr>
          <w:rFonts w:ascii="Times New Roman" w:hAnsi="Times New Roman" w:cs="Times New Roman"/>
        </w:rPr>
        <w:t>as</w:t>
      </w:r>
      <w:r w:rsidR="0091476D" w:rsidRPr="00A9354B">
        <w:rPr>
          <w:rFonts w:ascii="Times New Roman" w:hAnsi="Times New Roman" w:cs="Times New Roman"/>
          <w:spacing w:val="1"/>
        </w:rPr>
        <w:t xml:space="preserve"> </w:t>
      </w:r>
      <w:r w:rsidR="0091476D" w:rsidRPr="00A9354B">
        <w:rPr>
          <w:rFonts w:ascii="Times New Roman" w:hAnsi="Times New Roman" w:cs="Times New Roman"/>
        </w:rPr>
        <w:t>relações</w:t>
      </w:r>
      <w:r w:rsidR="0091476D" w:rsidRPr="00A9354B">
        <w:rPr>
          <w:rFonts w:ascii="Times New Roman" w:hAnsi="Times New Roman" w:cs="Times New Roman"/>
          <w:spacing w:val="1"/>
        </w:rPr>
        <w:t xml:space="preserve"> </w:t>
      </w:r>
      <w:r w:rsidR="0091476D" w:rsidRPr="00A9354B">
        <w:rPr>
          <w:rFonts w:ascii="Times New Roman" w:hAnsi="Times New Roman" w:cs="Times New Roman"/>
        </w:rPr>
        <w:t>que</w:t>
      </w:r>
      <w:r w:rsidR="0091476D" w:rsidRPr="00A9354B">
        <w:rPr>
          <w:rFonts w:ascii="Times New Roman" w:hAnsi="Times New Roman" w:cs="Times New Roman"/>
          <w:spacing w:val="1"/>
        </w:rPr>
        <w:t xml:space="preserve"> </w:t>
      </w:r>
      <w:r w:rsidR="0091476D" w:rsidRPr="00A9354B">
        <w:rPr>
          <w:rFonts w:ascii="Times New Roman" w:hAnsi="Times New Roman" w:cs="Times New Roman"/>
        </w:rPr>
        <w:t>se</w:t>
      </w:r>
      <w:r w:rsidR="0091476D" w:rsidRPr="00A9354B">
        <w:rPr>
          <w:rFonts w:ascii="Times New Roman" w:hAnsi="Times New Roman" w:cs="Times New Roman"/>
          <w:spacing w:val="1"/>
        </w:rPr>
        <w:t xml:space="preserve"> </w:t>
      </w:r>
      <w:r w:rsidR="0091476D" w:rsidRPr="00A9354B">
        <w:rPr>
          <w:rFonts w:ascii="Times New Roman" w:hAnsi="Times New Roman" w:cs="Times New Roman"/>
        </w:rPr>
        <w:t>estabelecem no interior daquele grupo</w:t>
      </w:r>
      <w:r w:rsidR="00A1092C">
        <w:rPr>
          <w:rFonts w:ascii="Times New Roman" w:hAnsi="Times New Roman" w:cs="Times New Roman"/>
        </w:rPr>
        <w:t>[...]</w:t>
      </w:r>
      <w:r w:rsidR="0091476D" w:rsidRPr="00A9354B">
        <w:rPr>
          <w:rFonts w:ascii="Times New Roman" w:hAnsi="Times New Roman" w:cs="Times New Roman"/>
        </w:rPr>
        <w:t>”</w:t>
      </w:r>
      <w:r w:rsidR="0091476D" w:rsidRPr="00A9354B">
        <w:rPr>
          <w:rFonts w:ascii="Times New Roman" w:hAnsi="Times New Roman" w:cs="Times New Roman"/>
          <w:spacing w:val="-2"/>
        </w:rPr>
        <w:t xml:space="preserve"> </w:t>
      </w:r>
      <w:r w:rsidR="0091476D" w:rsidRPr="00A9354B">
        <w:rPr>
          <w:rFonts w:ascii="Times New Roman" w:hAnsi="Times New Roman" w:cs="Times New Roman"/>
        </w:rPr>
        <w:t>(DUARTE,</w:t>
      </w:r>
      <w:r w:rsidR="0091476D" w:rsidRPr="00A9354B">
        <w:rPr>
          <w:rFonts w:ascii="Times New Roman" w:hAnsi="Times New Roman" w:cs="Times New Roman"/>
          <w:spacing w:val="-1"/>
        </w:rPr>
        <w:t xml:space="preserve"> </w:t>
      </w:r>
      <w:r w:rsidR="0091476D" w:rsidRPr="00A9354B">
        <w:rPr>
          <w:rFonts w:ascii="Times New Roman" w:hAnsi="Times New Roman" w:cs="Times New Roman"/>
        </w:rPr>
        <w:t>2004,</w:t>
      </w:r>
      <w:r w:rsidR="0091476D" w:rsidRPr="00A9354B">
        <w:rPr>
          <w:rFonts w:ascii="Times New Roman" w:hAnsi="Times New Roman" w:cs="Times New Roman"/>
          <w:spacing w:val="-2"/>
        </w:rPr>
        <w:t xml:space="preserve"> </w:t>
      </w:r>
      <w:r w:rsidR="0091476D" w:rsidRPr="00A9354B">
        <w:rPr>
          <w:rFonts w:ascii="Times New Roman" w:hAnsi="Times New Roman" w:cs="Times New Roman"/>
        </w:rPr>
        <w:t>p.</w:t>
      </w:r>
      <w:r w:rsidR="0091476D" w:rsidRPr="00A9354B">
        <w:rPr>
          <w:rFonts w:ascii="Times New Roman" w:hAnsi="Times New Roman" w:cs="Times New Roman"/>
          <w:spacing w:val="-2"/>
        </w:rPr>
        <w:t xml:space="preserve"> </w:t>
      </w:r>
      <w:r w:rsidR="0091476D" w:rsidRPr="00A9354B">
        <w:rPr>
          <w:rFonts w:ascii="Times New Roman" w:hAnsi="Times New Roman" w:cs="Times New Roman"/>
        </w:rPr>
        <w:t>115).</w:t>
      </w:r>
    </w:p>
    <w:p w14:paraId="6BB4C37A" w14:textId="588ED07E" w:rsidR="00A3742C" w:rsidRPr="00A9354B" w:rsidRDefault="00083B4C" w:rsidP="00C77BC6">
      <w:pPr>
        <w:spacing w:before="120" w:after="120" w:line="360" w:lineRule="auto"/>
        <w:ind w:firstLine="709"/>
        <w:jc w:val="both"/>
      </w:pPr>
      <w:r w:rsidRPr="00A9354B">
        <w:t>Os dados encontrados nas “várias fontes de evidências” (YIN, 2001, p.105) examinadas serão analisados em conjunto</w:t>
      </w:r>
      <w:r w:rsidR="0091476D" w:rsidRPr="00A9354B">
        <w:t>, tendo por base os fundamentos da análise de conteúdo de Bardin (2016,</w:t>
      </w:r>
      <w:r w:rsidR="007A1F6F" w:rsidRPr="00A9354B">
        <w:t xml:space="preserve"> p. 47</w:t>
      </w:r>
      <w:r w:rsidR="0091476D" w:rsidRPr="00A9354B">
        <w:t>), que se caracteriza em “[...] um conjunto de técnicas de análise das comunicações</w:t>
      </w:r>
      <w:r w:rsidR="00A1092C">
        <w:t xml:space="preserve"> [...]</w:t>
      </w:r>
      <w:r w:rsidR="00DE2166" w:rsidRPr="00A9354B">
        <w:t>”</w:t>
      </w:r>
      <w:r w:rsidR="0091476D" w:rsidRPr="00A9354B">
        <w:t>,</w:t>
      </w:r>
      <w:r w:rsidR="00E74652" w:rsidRPr="00A9354B">
        <w:t xml:space="preserve"> </w:t>
      </w:r>
      <w:r w:rsidR="0091476D" w:rsidRPr="00A9354B">
        <w:t xml:space="preserve">buscando a compreensão do </w:t>
      </w:r>
      <w:r w:rsidRPr="00A9354B">
        <w:t xml:space="preserve">objeto de pesquisa </w:t>
      </w:r>
      <w:r w:rsidR="003522CD" w:rsidRPr="00A9354B">
        <w:t>na</w:t>
      </w:r>
      <w:r w:rsidR="00E74652" w:rsidRPr="00A9354B">
        <w:t xml:space="preserve"> construção</w:t>
      </w:r>
      <w:r w:rsidRPr="00A9354B">
        <w:t xml:space="preserve"> </w:t>
      </w:r>
      <w:r w:rsidR="00E74652" w:rsidRPr="00A9354B">
        <w:t>d</w:t>
      </w:r>
      <w:r w:rsidRPr="00A9354B">
        <w:t>a tese</w:t>
      </w:r>
      <w:r w:rsidR="0091476D" w:rsidRPr="00A9354B">
        <w:t>.</w:t>
      </w:r>
    </w:p>
    <w:p w14:paraId="527D0B5C" w14:textId="4D330069" w:rsidR="00F74849" w:rsidRPr="00A9354B" w:rsidRDefault="00F74849" w:rsidP="000663E3">
      <w:pPr>
        <w:spacing w:before="120" w:after="120" w:line="360" w:lineRule="auto"/>
        <w:jc w:val="both"/>
        <w:rPr>
          <w:b/>
        </w:rPr>
      </w:pPr>
      <w:r w:rsidRPr="00A9354B">
        <w:rPr>
          <w:b/>
        </w:rPr>
        <w:t>RESULTADOS E/OU DISCUSSÃO</w:t>
      </w:r>
    </w:p>
    <w:p w14:paraId="32202EF6" w14:textId="6138EF6E" w:rsidR="00E437B5" w:rsidRDefault="00F74849" w:rsidP="000C01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360" w:lineRule="auto"/>
        <w:jc w:val="both"/>
      </w:pPr>
      <w:r w:rsidRPr="00A9354B">
        <w:rPr>
          <w:b/>
        </w:rPr>
        <w:tab/>
      </w:r>
      <w:r w:rsidR="00244D81">
        <w:t>Neste</w:t>
      </w:r>
      <w:r w:rsidR="00244D81" w:rsidRPr="00A9354B">
        <w:t xml:space="preserve"> </w:t>
      </w:r>
      <w:r w:rsidR="00E50EDC" w:rsidRPr="00A9354B">
        <w:t xml:space="preserve">processo inicial </w:t>
      </w:r>
      <w:r w:rsidR="00244D81">
        <w:t>de</w:t>
      </w:r>
      <w:r w:rsidR="00244D81" w:rsidRPr="00A9354B">
        <w:t xml:space="preserve"> </w:t>
      </w:r>
      <w:r w:rsidR="00E50EDC" w:rsidRPr="00A9354B">
        <w:t xml:space="preserve">coleta </w:t>
      </w:r>
      <w:r w:rsidR="00D03F77">
        <w:t>de</w:t>
      </w:r>
      <w:r w:rsidR="00D03F77" w:rsidRPr="00A9354B">
        <w:t xml:space="preserve"> </w:t>
      </w:r>
      <w:r w:rsidR="00E50EDC" w:rsidRPr="00A9354B">
        <w:t>dados</w:t>
      </w:r>
      <w:r w:rsidR="007A1F6F" w:rsidRPr="00A9354B">
        <w:t>,</w:t>
      </w:r>
      <w:r w:rsidR="006B4092" w:rsidRPr="00A9354B">
        <w:t xml:space="preserve"> </w:t>
      </w:r>
      <w:r w:rsidR="00244D81">
        <w:t>mapeou-se</w:t>
      </w:r>
      <w:r w:rsidR="006B4092" w:rsidRPr="00A9354B">
        <w:t xml:space="preserve"> </w:t>
      </w:r>
      <w:r w:rsidR="00023675">
        <w:t xml:space="preserve">184 programas de pós-graduação em educação no Brasil, </w:t>
      </w:r>
      <w:r w:rsidR="00244D81">
        <w:t>destes</w:t>
      </w:r>
      <w:r w:rsidR="00244D81">
        <w:t xml:space="preserve"> </w:t>
      </w:r>
      <w:r w:rsidR="00023675">
        <w:t>66</w:t>
      </w:r>
      <w:r w:rsidR="00411154">
        <w:t xml:space="preserve"> </w:t>
      </w:r>
      <w:r w:rsidR="00244D81">
        <w:t>foram classificados com</w:t>
      </w:r>
      <w:r w:rsidR="00244D81">
        <w:t xml:space="preserve"> </w:t>
      </w:r>
      <w:r w:rsidR="00023675">
        <w:t xml:space="preserve">nota </w:t>
      </w:r>
      <w:r w:rsidR="00023675" w:rsidRPr="00A9354B">
        <w:t xml:space="preserve">5, 6 </w:t>
      </w:r>
      <w:r w:rsidR="000C01A0">
        <w:t>ou</w:t>
      </w:r>
      <w:r w:rsidR="00023675" w:rsidRPr="00A9354B">
        <w:t xml:space="preserve"> 7 </w:t>
      </w:r>
      <w:r w:rsidR="005A1422">
        <w:t xml:space="preserve">ao longo das </w:t>
      </w:r>
      <w:r w:rsidR="00023675" w:rsidRPr="00A9354B">
        <w:t>avaliações</w:t>
      </w:r>
      <w:r w:rsidR="00023675">
        <w:t xml:space="preserve"> trienais</w:t>
      </w:r>
      <w:r w:rsidR="00023675" w:rsidRPr="00A9354B">
        <w:t xml:space="preserve"> de 2001 a 2013</w:t>
      </w:r>
      <w:r w:rsidR="000C01A0">
        <w:t xml:space="preserve"> </w:t>
      </w:r>
      <w:r w:rsidR="00236177">
        <w:t>e das</w:t>
      </w:r>
      <w:r w:rsidR="000C01A0">
        <w:t xml:space="preserve"> quadrienais</w:t>
      </w:r>
      <w:r w:rsidR="000C01A0" w:rsidRPr="00A9354B">
        <w:t xml:space="preserve"> 2017</w:t>
      </w:r>
      <w:r w:rsidR="000C01A0">
        <w:t xml:space="preserve"> e 2021. </w:t>
      </w:r>
      <w:r w:rsidR="005A1422">
        <w:t xml:space="preserve">Porém, </w:t>
      </w:r>
      <w:r w:rsidR="00411154">
        <w:t>a nota de 2021</w:t>
      </w:r>
      <w:r w:rsidR="00E437B5">
        <w:t>, por ser atual, tornou-se</w:t>
      </w:r>
      <w:r w:rsidR="00411154">
        <w:t xml:space="preserve"> a matriz determinante para o levantamento bibliográfico dos trabalhos sobre a temática</w:t>
      </w:r>
      <w:r w:rsidR="00E437B5">
        <w:t xml:space="preserve">, enquadrando ao critério </w:t>
      </w:r>
      <w:r w:rsidR="00E437B5">
        <w:t>51 programas</w:t>
      </w:r>
      <w:r w:rsidR="00E437B5">
        <w:t>,</w:t>
      </w:r>
      <w:r w:rsidR="00E437B5">
        <w:t xml:space="preserve"> 37 </w:t>
      </w:r>
      <w:r w:rsidR="00E437B5">
        <w:t xml:space="preserve">de </w:t>
      </w:r>
      <w:r w:rsidR="00E437B5">
        <w:t xml:space="preserve">nota 5, 10 </w:t>
      </w:r>
      <w:r w:rsidR="00E437B5">
        <w:t xml:space="preserve">de </w:t>
      </w:r>
      <w:r w:rsidR="00E437B5">
        <w:t xml:space="preserve">nota 6 e 4 </w:t>
      </w:r>
      <w:r w:rsidR="00E437B5">
        <w:t xml:space="preserve">de </w:t>
      </w:r>
      <w:r w:rsidR="00E437B5">
        <w:t>nota 7</w:t>
      </w:r>
      <w:r w:rsidR="00E437B5">
        <w:t>.</w:t>
      </w:r>
    </w:p>
    <w:p w14:paraId="292BAB04" w14:textId="66DAD7F7" w:rsidR="00015254" w:rsidRDefault="00411154" w:rsidP="0001525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360" w:lineRule="auto"/>
        <w:jc w:val="both"/>
      </w:pPr>
      <w:r>
        <w:tab/>
        <w:t xml:space="preserve">A </w:t>
      </w:r>
      <w:r w:rsidRPr="00DE5BF9">
        <w:rPr>
          <w:i/>
          <w:iCs/>
        </w:rPr>
        <w:t>priori</w:t>
      </w:r>
      <w:r w:rsidR="009C77EB">
        <w:rPr>
          <w:i/>
          <w:iCs/>
        </w:rPr>
        <w:t>,</w:t>
      </w:r>
      <w:r>
        <w:t xml:space="preserve"> </w:t>
      </w:r>
      <w:r w:rsidR="009C77EB">
        <w:t xml:space="preserve">no levantamento parcial dos programas de nota 6 e 7, utilizando as palavras-chave </w:t>
      </w:r>
      <w:r w:rsidR="009C77EB">
        <w:t>formação continuada, tecnologias e práticas pedagógicas</w:t>
      </w:r>
      <w:r w:rsidR="009C77EB">
        <w:t xml:space="preserve">, foram encontradas </w:t>
      </w:r>
      <w:r w:rsidR="009C77EB">
        <w:t>81 teses e 96 dissertações</w:t>
      </w:r>
      <w:r w:rsidR="009C77EB">
        <w:t xml:space="preserve"> </w:t>
      </w:r>
      <w:r w:rsidR="009C77EB">
        <w:t>nas 4 IES de nota 7</w:t>
      </w:r>
      <w:r w:rsidR="009C77EB">
        <w:t xml:space="preserve">, e </w:t>
      </w:r>
      <w:r w:rsidR="009C77EB">
        <w:t xml:space="preserve">118 teses e 209 dissertações </w:t>
      </w:r>
      <w:r w:rsidR="009C77EB">
        <w:t xml:space="preserve">nas 10 IFES de nota 6 sobre as temáticas </w:t>
      </w:r>
      <w:r w:rsidR="00E437B5">
        <w:t>relacionadas ao tema de pesquisa</w:t>
      </w:r>
      <w:r w:rsidR="009C77EB">
        <w:t>.</w:t>
      </w:r>
      <w:r w:rsidR="00015254">
        <w:t xml:space="preserve"> Nas 37 IFES de nota 5 ainda está sento realizado o levantamento para o tratamento dos dados.</w:t>
      </w:r>
    </w:p>
    <w:p w14:paraId="3D30B3B3" w14:textId="0B4DB0FA" w:rsidR="00E50EDC" w:rsidRDefault="00BE64FC" w:rsidP="000663E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360" w:lineRule="auto"/>
        <w:jc w:val="both"/>
      </w:pPr>
      <w:r w:rsidRPr="00A9354B">
        <w:tab/>
      </w:r>
      <w:r w:rsidR="00AE5370" w:rsidRPr="00A9354B">
        <w:t>Também está sendo realizado o levanto das</w:t>
      </w:r>
      <w:r w:rsidR="008126A0" w:rsidRPr="00A9354B">
        <w:t xml:space="preserve"> política</w:t>
      </w:r>
      <w:r w:rsidR="00AE5370" w:rsidRPr="00A9354B">
        <w:t>s de</w:t>
      </w:r>
      <w:r w:rsidR="007A1F6F" w:rsidRPr="00A9354B">
        <w:t xml:space="preserve"> promoção das TDICs na educação e de</w:t>
      </w:r>
      <w:r w:rsidR="00AE5370" w:rsidRPr="00A9354B">
        <w:t xml:space="preserve"> formação continuada de professor</w:t>
      </w:r>
      <w:r w:rsidR="008126A0" w:rsidRPr="00A9354B">
        <w:t xml:space="preserve"> </w:t>
      </w:r>
      <w:r w:rsidR="00AE5370" w:rsidRPr="00A9354B">
        <w:t>no âmbito federal e</w:t>
      </w:r>
      <w:r w:rsidR="007A1F6F" w:rsidRPr="00A9354B">
        <w:t xml:space="preserve"> as políticas/ações</w:t>
      </w:r>
      <w:r w:rsidR="00AE5370" w:rsidRPr="00A9354B">
        <w:t xml:space="preserve"> estadua</w:t>
      </w:r>
      <w:r w:rsidR="007A1F6F" w:rsidRPr="00A9354B">
        <w:t>is para a implementação das TDICs nas escolas estaduais</w:t>
      </w:r>
      <w:r w:rsidR="00AE5370" w:rsidRPr="00A9354B">
        <w:t xml:space="preserve">, bem como </w:t>
      </w:r>
      <w:r w:rsidR="00E437B5">
        <w:t>levantamento d</w:t>
      </w:r>
      <w:r w:rsidR="00AE5370" w:rsidRPr="00A9354B">
        <w:t xml:space="preserve">as </w:t>
      </w:r>
      <w:r w:rsidR="00E50EDC" w:rsidRPr="00A9354B">
        <w:t xml:space="preserve">ações </w:t>
      </w:r>
      <w:r w:rsidR="007A1F6F" w:rsidRPr="00A9354B">
        <w:t xml:space="preserve">de formação </w:t>
      </w:r>
      <w:r w:rsidR="00E50EDC" w:rsidRPr="00A9354B">
        <w:t>realizadas pel</w:t>
      </w:r>
      <w:r w:rsidRPr="00A9354B">
        <w:t>o CEPAN da</w:t>
      </w:r>
      <w:r w:rsidR="00E50EDC" w:rsidRPr="00A9354B">
        <w:t xml:space="preserve"> SEDUC/AM</w:t>
      </w:r>
      <w:r w:rsidRPr="00A9354B">
        <w:t xml:space="preserve"> e</w:t>
      </w:r>
      <w:r w:rsidR="00E50EDC" w:rsidRPr="00A9354B">
        <w:t xml:space="preserve"> por meio do d</w:t>
      </w:r>
      <w:r w:rsidR="00AE5370" w:rsidRPr="00A9354B">
        <w:t>os</w:t>
      </w:r>
      <w:r w:rsidR="00E50EDC" w:rsidRPr="00A9354B">
        <w:t xml:space="preserve"> convênios realizados com as Instituições de Ensino Superior do Amazonas e de outros </w:t>
      </w:r>
      <w:r w:rsidR="00AE5370" w:rsidRPr="00A9354B">
        <w:t>estados</w:t>
      </w:r>
      <w:r w:rsidR="00F609F1">
        <w:t>.</w:t>
      </w:r>
    </w:p>
    <w:p w14:paraId="233088F7" w14:textId="106AAFAC" w:rsidR="00F74849" w:rsidRPr="00A9354B" w:rsidRDefault="00F74849" w:rsidP="000663E3">
      <w:pPr>
        <w:spacing w:before="120" w:after="120" w:line="360" w:lineRule="auto"/>
        <w:jc w:val="both"/>
        <w:rPr>
          <w:b/>
        </w:rPr>
      </w:pPr>
      <w:r w:rsidRPr="00A9354B">
        <w:rPr>
          <w:b/>
        </w:rPr>
        <w:t>CONSIDERAÇÕES FINAIS</w:t>
      </w:r>
    </w:p>
    <w:p w14:paraId="6304A192" w14:textId="54D2D7D4" w:rsidR="00FF2C26" w:rsidRPr="00A9354B" w:rsidRDefault="000663E3" w:rsidP="000663E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360" w:lineRule="auto"/>
        <w:jc w:val="both"/>
      </w:pPr>
      <w:r w:rsidRPr="00A9354B">
        <w:tab/>
      </w:r>
      <w:r w:rsidR="00FF2C26" w:rsidRPr="00A9354B">
        <w:t>A investigação da</w:t>
      </w:r>
      <w:r w:rsidR="00BE64FC" w:rsidRPr="00A9354B">
        <w:t>s</w:t>
      </w:r>
      <w:r w:rsidR="00FF2C26" w:rsidRPr="00A9354B">
        <w:t xml:space="preserve"> política</w:t>
      </w:r>
      <w:r w:rsidR="00BE64FC" w:rsidRPr="00A9354B">
        <w:t>s</w:t>
      </w:r>
      <w:r w:rsidR="00FF2C26" w:rsidRPr="00A9354B">
        <w:t xml:space="preserve"> de </w:t>
      </w:r>
      <w:r w:rsidR="006F21A0" w:rsidRPr="00A9354B">
        <w:t xml:space="preserve">promoção das TDICs na educação e de </w:t>
      </w:r>
      <w:r w:rsidR="00FF2C26" w:rsidRPr="00A9354B">
        <w:t xml:space="preserve">formação de professores </w:t>
      </w:r>
      <w:r w:rsidR="006F21A0" w:rsidRPr="00A9354B">
        <w:t>para</w:t>
      </w:r>
      <w:r w:rsidR="00BE64FC" w:rsidRPr="00A9354B">
        <w:t xml:space="preserve"> sua</w:t>
      </w:r>
      <w:r w:rsidR="006F21A0" w:rsidRPr="00A9354B">
        <w:t xml:space="preserve"> </w:t>
      </w:r>
      <w:r w:rsidR="00FF2C26" w:rsidRPr="00A9354B">
        <w:t xml:space="preserve">utilização </w:t>
      </w:r>
      <w:r w:rsidR="00A160C5" w:rsidRPr="00A9354B">
        <w:t xml:space="preserve">no fazer pedagógico </w:t>
      </w:r>
      <w:r w:rsidR="00FF2C26" w:rsidRPr="00A9354B">
        <w:t>nas</w:t>
      </w:r>
      <w:r w:rsidR="00B46125">
        <w:t xml:space="preserve"> escolas</w:t>
      </w:r>
      <w:r w:rsidR="00FF2C26" w:rsidRPr="00A9354B">
        <w:t xml:space="preserve"> </w:t>
      </w:r>
      <w:r w:rsidR="00B46125">
        <w:t xml:space="preserve">públicas </w:t>
      </w:r>
      <w:r w:rsidR="00FF2C26" w:rsidRPr="00A9354B">
        <w:t xml:space="preserve">é uma abordagem relevante para compreender a atual situação </w:t>
      </w:r>
      <w:r w:rsidR="00BE64FC" w:rsidRPr="00A9354B">
        <w:t xml:space="preserve">do uso de TDICS </w:t>
      </w:r>
      <w:r w:rsidR="00B46125">
        <w:t>nas</w:t>
      </w:r>
      <w:r w:rsidR="00B46125" w:rsidRPr="00B46125">
        <w:t xml:space="preserve"> </w:t>
      </w:r>
      <w:r w:rsidR="00B46125" w:rsidRPr="00A9354B">
        <w:t>escolas estaduais do Amazonas</w:t>
      </w:r>
      <w:r w:rsidR="00B46125">
        <w:t xml:space="preserve">. </w:t>
      </w:r>
    </w:p>
    <w:p w14:paraId="13C2EA4E" w14:textId="2AC4AFF1" w:rsidR="007A6C32" w:rsidRDefault="000663E3" w:rsidP="007A6C3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360" w:lineRule="auto"/>
        <w:jc w:val="both"/>
      </w:pPr>
      <w:r w:rsidRPr="00A9354B">
        <w:lastRenderedPageBreak/>
        <w:tab/>
      </w:r>
      <w:r w:rsidR="00FF2C26" w:rsidRPr="00A9354B">
        <w:t>A pesquisa pode</w:t>
      </w:r>
      <w:r w:rsidR="00E44B9C">
        <w:t>rá</w:t>
      </w:r>
      <w:r w:rsidR="00AA458D" w:rsidRPr="00A9354B">
        <w:t xml:space="preserve"> desvelar </w:t>
      </w:r>
      <w:r w:rsidR="007A6C32">
        <w:t xml:space="preserve">se as </w:t>
      </w:r>
      <w:r w:rsidR="007A6C32" w:rsidRPr="00A9354B">
        <w:t>especificidades do contexto amazônico</w:t>
      </w:r>
      <w:r w:rsidR="007A6C32">
        <w:t xml:space="preserve"> têm interferido na realização das </w:t>
      </w:r>
      <w:r w:rsidR="007A6C32" w:rsidRPr="00A9354B">
        <w:t>ações estaduais para implementação das políticas públicas de promoção das TDICs nas escolas e na formação de professores para sua utilização no fazer pedagógico</w:t>
      </w:r>
      <w:r w:rsidR="007A6C32">
        <w:t xml:space="preserve"> nas duas décadas do século XXI e cerceado </w:t>
      </w:r>
      <w:r w:rsidR="007A6C32" w:rsidRPr="00A9354B">
        <w:t>professores e alunos de se beneficia</w:t>
      </w:r>
      <w:r w:rsidR="007A6C32">
        <w:t>rem</w:t>
      </w:r>
      <w:r w:rsidR="007A6C32" w:rsidRPr="00A9354B">
        <w:t xml:space="preserve"> do potencial das TDICs.</w:t>
      </w:r>
    </w:p>
    <w:p w14:paraId="4A92ED2F" w14:textId="77777777" w:rsidR="007A6C32" w:rsidRPr="00A9354B" w:rsidRDefault="007A6C32" w:rsidP="007A6C3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360" w:lineRule="auto"/>
        <w:jc w:val="both"/>
      </w:pPr>
    </w:p>
    <w:p w14:paraId="00000015" w14:textId="77777777" w:rsidR="00B337D8" w:rsidRPr="00A9354B" w:rsidRDefault="00A204F8" w:rsidP="000663E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b/>
        </w:rPr>
      </w:pPr>
      <w:r w:rsidRPr="00A9354B">
        <w:rPr>
          <w:b/>
        </w:rPr>
        <w:t>REFERÊNCIAS</w:t>
      </w:r>
    </w:p>
    <w:p w14:paraId="090D5BDA" w14:textId="0000C490" w:rsidR="001B0BCD" w:rsidRPr="00A9354B" w:rsidRDefault="001B0BCD" w:rsidP="00F14A1F">
      <w:pPr>
        <w:pStyle w:val="NormalWeb"/>
        <w:spacing w:before="120" w:beforeAutospacing="0" w:after="120" w:afterAutospacing="0"/>
      </w:pPr>
      <w:r w:rsidRPr="00A9354B">
        <w:t xml:space="preserve">BARDIN, L. </w:t>
      </w:r>
      <w:r w:rsidRPr="00A9354B">
        <w:rPr>
          <w:b/>
          <w:bCs/>
        </w:rPr>
        <w:t>Análise de conteúdo</w:t>
      </w:r>
      <w:r w:rsidRPr="00A9354B">
        <w:t xml:space="preserve">. Tradução: Luís Antero Reto; Augusto Pinheiro. </w:t>
      </w:r>
      <w:r w:rsidR="00C77BC6" w:rsidRPr="00A9354B">
        <w:t>São</w:t>
      </w:r>
      <w:r w:rsidRPr="00A9354B">
        <w:t xml:space="preserve"> Paulo: Edições 70, 2016.</w:t>
      </w:r>
    </w:p>
    <w:p w14:paraId="5C2B99E3" w14:textId="787C268F" w:rsidR="00B313FE" w:rsidRPr="00A9354B" w:rsidRDefault="00000000" w:rsidP="00F14A1F">
      <w:pPr>
        <w:pStyle w:val="NormalWeb"/>
        <w:spacing w:before="120" w:beforeAutospacing="0" w:after="120" w:afterAutospacing="0"/>
      </w:pPr>
      <w:hyperlink r:id="rId9" w:tgtFrame="_blank" w:history="1">
        <w:r w:rsidR="00B313FE" w:rsidRPr="00A9354B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BORGES, H. S.</w:t>
        </w:r>
      </w:hyperlink>
      <w:r w:rsidR="00B313FE" w:rsidRPr="00A9354B">
        <w:rPr>
          <w:shd w:val="clear" w:color="auto" w:fill="FFFFFF"/>
        </w:rPr>
        <w:t>;</w:t>
      </w:r>
      <w:r w:rsidR="00F72FD7" w:rsidRPr="00A9354B">
        <w:rPr>
          <w:shd w:val="clear" w:color="auto" w:fill="FFFFFF"/>
        </w:rPr>
        <w:t xml:space="preserve"> </w:t>
      </w:r>
      <w:hyperlink r:id="rId10" w:tgtFrame="_blank" w:tooltip="Clique para visualizar o currículo" w:history="1">
        <w:r w:rsidR="00B313FE" w:rsidRPr="00A9354B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PINHEIRO, I. L.</w:t>
        </w:r>
      </w:hyperlink>
      <w:r w:rsidR="00B313FE" w:rsidRPr="00A9354B">
        <w:rPr>
          <w:shd w:val="clear" w:color="auto" w:fill="FFFFFF"/>
        </w:rPr>
        <w:t xml:space="preserve"> . Formação Continuada de Professores/as: uma categoria de análise da </w:t>
      </w:r>
      <w:r w:rsidR="00C77BC6" w:rsidRPr="00A9354B">
        <w:rPr>
          <w:shd w:val="clear" w:color="auto" w:fill="FFFFFF"/>
        </w:rPr>
        <w:t>política</w:t>
      </w:r>
      <w:r w:rsidR="00B313FE" w:rsidRPr="00A9354B">
        <w:rPr>
          <w:shd w:val="clear" w:color="auto" w:fill="FFFFFF"/>
        </w:rPr>
        <w:t xml:space="preserve"> de qualidade da educação. In: Brenna Paula Boaventura Correa Cavalcanti; Arminda Rachel Botelho Mourão;</w:t>
      </w:r>
      <w:r w:rsidR="00C77BC6" w:rsidRPr="00A9354B">
        <w:rPr>
          <w:shd w:val="clear" w:color="auto" w:fill="FFFFFF"/>
        </w:rPr>
        <w:t xml:space="preserve"> </w:t>
      </w:r>
      <w:r w:rsidR="00B313FE" w:rsidRPr="00A9354B">
        <w:rPr>
          <w:shd w:val="clear" w:color="auto" w:fill="FFFFFF"/>
        </w:rPr>
        <w:t xml:space="preserve">Gracimeire de Castro Torres; Carlos Augusto Gomes Almeida. (Org.). </w:t>
      </w:r>
      <w:r w:rsidR="00B313FE" w:rsidRPr="00A9354B">
        <w:rPr>
          <w:b/>
          <w:bCs/>
          <w:shd w:val="clear" w:color="auto" w:fill="FFFFFF"/>
        </w:rPr>
        <w:t>Educação em Foco: reflexões no contexto amazônico</w:t>
      </w:r>
      <w:r w:rsidR="00B313FE" w:rsidRPr="00A9354B">
        <w:rPr>
          <w:shd w:val="clear" w:color="auto" w:fill="FFFFFF"/>
        </w:rPr>
        <w:t>. 1ed.Curitiba: CRV, 2021, v. 1</w:t>
      </w:r>
      <w:r w:rsidR="00B8627F" w:rsidRPr="00A9354B">
        <w:rPr>
          <w:shd w:val="clear" w:color="auto" w:fill="FFFFFF"/>
        </w:rPr>
        <w:t>.</w:t>
      </w:r>
      <w:r w:rsidR="00B313FE" w:rsidRPr="00A9354B">
        <w:rPr>
          <w:shd w:val="clear" w:color="auto" w:fill="FFFFFF"/>
        </w:rPr>
        <w:t xml:space="preserve"> p. 113-128.</w:t>
      </w:r>
    </w:p>
    <w:p w14:paraId="25405459" w14:textId="7B396AD9" w:rsidR="00B8161B" w:rsidRPr="00A9354B" w:rsidRDefault="00000000" w:rsidP="00F14A1F">
      <w:pPr>
        <w:pStyle w:val="NormalWeb"/>
        <w:spacing w:before="120" w:beforeAutospacing="0" w:after="120" w:afterAutospacing="0"/>
        <w:rPr>
          <w:shd w:val="clear" w:color="auto" w:fill="FFFFFF"/>
        </w:rPr>
      </w:pPr>
      <w:hyperlink r:id="rId11" w:tgtFrame="_blank" w:history="1">
        <w:r w:rsidR="00B8161B" w:rsidRPr="00A9354B">
          <w:t>SILVA, C. F.</w:t>
        </w:r>
      </w:hyperlink>
      <w:r w:rsidR="00B8161B" w:rsidRPr="00A9354B">
        <w:rPr>
          <w:shd w:val="clear" w:color="auto" w:fill="FFFFFF"/>
        </w:rPr>
        <w:t xml:space="preserve">; SAMPAIO, C. A. S.; CUNHA, T. Do julgamento professoral às avaliações externas, que fazemos com as crianças e jovens na escola? Um estudo de caso na cidade de Manaus-AM. </w:t>
      </w:r>
      <w:r w:rsidR="00B8161B" w:rsidRPr="00A9354B">
        <w:rPr>
          <w:b/>
          <w:bCs/>
          <w:shd w:val="clear" w:color="auto" w:fill="FFFFFF"/>
        </w:rPr>
        <w:t>Revista Iberoamericana de Educación</w:t>
      </w:r>
      <w:r w:rsidR="00B8161B" w:rsidRPr="00A9354B">
        <w:rPr>
          <w:shd w:val="clear" w:color="auto" w:fill="FFFFFF"/>
        </w:rPr>
        <w:t xml:space="preserve"> (ONLINE), v. 84, p. 217-236, 2020.</w:t>
      </w:r>
    </w:p>
    <w:p w14:paraId="1486028C" w14:textId="77777777" w:rsidR="001B0BCD" w:rsidRPr="00A9354B" w:rsidRDefault="001B0BCD" w:rsidP="00F14A1F">
      <w:pPr>
        <w:pStyle w:val="NormalWeb"/>
        <w:spacing w:before="120" w:beforeAutospacing="0" w:after="120" w:afterAutospacing="0"/>
      </w:pPr>
      <w:r w:rsidRPr="00A9354B">
        <w:t xml:space="preserve">DEMO, Pedro. </w:t>
      </w:r>
      <w:r w:rsidRPr="00A9354B">
        <w:rPr>
          <w:b/>
          <w:bCs/>
        </w:rPr>
        <w:t>Questões para a teleducação</w:t>
      </w:r>
      <w:r w:rsidRPr="00A9354B">
        <w:t>. Petrópolis, RJ: Vozes, 1998.</w:t>
      </w:r>
    </w:p>
    <w:p w14:paraId="741C6290" w14:textId="29FFE0D8" w:rsidR="001B0BCD" w:rsidRPr="00A9354B" w:rsidRDefault="001B0BCD" w:rsidP="00F14A1F">
      <w:pPr>
        <w:pStyle w:val="NormalWeb"/>
        <w:spacing w:before="120" w:beforeAutospacing="0" w:after="120" w:afterAutospacing="0"/>
      </w:pPr>
      <w:r w:rsidRPr="00A9354B">
        <w:t xml:space="preserve">FREIRE, Paulo. </w:t>
      </w:r>
      <w:r w:rsidRPr="00A9354B">
        <w:rPr>
          <w:b/>
          <w:bCs/>
        </w:rPr>
        <w:t>Política e educação</w:t>
      </w:r>
      <w:r w:rsidRPr="00A9354B">
        <w:t>: ensaios. 5</w:t>
      </w:r>
      <w:r w:rsidR="00B8627F" w:rsidRPr="00A9354B">
        <w:t>.</w:t>
      </w:r>
      <w:r w:rsidRPr="00A9354B">
        <w:t xml:space="preserve"> ed., São Paulo: Cortez, 2001.</w:t>
      </w:r>
      <w:r w:rsidR="00B8627F" w:rsidRPr="00A9354B">
        <w:t xml:space="preserve"> (</w:t>
      </w:r>
      <w:r w:rsidRPr="00A9354B">
        <w:t>Coleção Questões de Nossa Época; v.23</w:t>
      </w:r>
      <w:r w:rsidR="00B8627F" w:rsidRPr="00A9354B">
        <w:t>)</w:t>
      </w:r>
      <w:r w:rsidRPr="00A9354B">
        <w:t>.</w:t>
      </w:r>
    </w:p>
    <w:p w14:paraId="7FFE26DE" w14:textId="77777777" w:rsidR="001B0BCD" w:rsidRPr="00A9354B" w:rsidRDefault="001B0BCD" w:rsidP="00F14A1F">
      <w:pPr>
        <w:pStyle w:val="NormalWeb"/>
        <w:spacing w:before="120" w:beforeAutospacing="0" w:after="120" w:afterAutospacing="0"/>
      </w:pPr>
      <w:r w:rsidRPr="00A9354B">
        <w:t xml:space="preserve">GIL, Antonio Carlos. </w:t>
      </w:r>
      <w:r w:rsidRPr="00A9354B">
        <w:rPr>
          <w:b/>
          <w:bCs/>
        </w:rPr>
        <w:t>Métodos e técnicas de pesquisa social</w:t>
      </w:r>
      <w:r w:rsidRPr="00A9354B">
        <w:t xml:space="preserve">. 6. ed. São Paulo: Atlas, 2008. </w:t>
      </w:r>
    </w:p>
    <w:p w14:paraId="4DBB83C3" w14:textId="2A396F91" w:rsidR="00F4395F" w:rsidRPr="00A9354B" w:rsidRDefault="00F4395F" w:rsidP="00F14A1F">
      <w:pPr>
        <w:pStyle w:val="NormalWeb"/>
        <w:spacing w:before="120" w:beforeAutospacing="0" w:after="120" w:afterAutospacing="0"/>
      </w:pPr>
      <w:r w:rsidRPr="00A9354B">
        <w:rPr>
          <w:shd w:val="clear" w:color="auto" w:fill="FFFFFF"/>
        </w:rPr>
        <w:t>LIMA, K. O.;</w:t>
      </w:r>
      <w:r w:rsidR="00B63732" w:rsidRPr="00A9354B">
        <w:rPr>
          <w:shd w:val="clear" w:color="auto" w:fill="FFFFFF"/>
        </w:rPr>
        <w:t xml:space="preserve"> </w:t>
      </w:r>
      <w:r w:rsidRPr="00A9354B">
        <w:rPr>
          <w:bdr w:val="none" w:sz="0" w:space="0" w:color="auto" w:frame="1"/>
          <w:shd w:val="clear" w:color="auto" w:fill="FFFFFF"/>
        </w:rPr>
        <w:t>GARCIA, F. M.</w:t>
      </w:r>
      <w:r w:rsidRPr="00A9354B">
        <w:rPr>
          <w:shd w:val="clear" w:color="auto" w:fill="FFFFFF"/>
        </w:rPr>
        <w:t xml:space="preserve">; MACHADO, A. S. R. C. Políticas Públicas de Acesso às Tecnologias Digitais no Contexto Educacional Brasileiro. </w:t>
      </w:r>
      <w:r w:rsidRPr="00A9354B">
        <w:rPr>
          <w:b/>
          <w:bCs/>
          <w:shd w:val="clear" w:color="auto" w:fill="FFFFFF"/>
        </w:rPr>
        <w:t>RESEARCH, SOCIETY AND DEVELOPMENT</w:t>
      </w:r>
      <w:r w:rsidRPr="00A9354B">
        <w:rPr>
          <w:shd w:val="clear" w:color="auto" w:fill="FFFFFF"/>
        </w:rPr>
        <w:t>, v. 11, p. 1-13, 2022.</w:t>
      </w:r>
    </w:p>
    <w:p w14:paraId="0F289943" w14:textId="77777777" w:rsidR="001B0BCD" w:rsidRPr="00A9354B" w:rsidRDefault="001B0BCD" w:rsidP="00F14A1F">
      <w:pPr>
        <w:pStyle w:val="NormalWeb"/>
        <w:spacing w:before="120" w:beforeAutospacing="0" w:after="120" w:afterAutospacing="0"/>
      </w:pPr>
      <w:r w:rsidRPr="00A9354B">
        <w:t xml:space="preserve">PIMENTA, Selma Garrido. Formação de professores: identidades e saberes na docência. In: PIMENTA, Selma Garrido. </w:t>
      </w:r>
      <w:r w:rsidRPr="00A9354B">
        <w:rPr>
          <w:b/>
          <w:bCs/>
        </w:rPr>
        <w:t>Saberes pedagógicos e atividade docente</w:t>
      </w:r>
      <w:r w:rsidRPr="00A9354B">
        <w:t>. São Paulo: Cortez, 1999. p. 15-34.</w:t>
      </w:r>
    </w:p>
    <w:p w14:paraId="4BC2D66F" w14:textId="2949817D" w:rsidR="00A16439" w:rsidRPr="00A9354B" w:rsidRDefault="001B0BCD" w:rsidP="00F14A1F">
      <w:pPr>
        <w:pStyle w:val="NormalWeb"/>
        <w:spacing w:before="120" w:beforeAutospacing="0" w:after="120" w:afterAutospacing="0"/>
      </w:pPr>
      <w:r w:rsidRPr="00A9354B">
        <w:t xml:space="preserve">SAVIANI, Demerval. Os saberes implicados na formação do educador. In: BICUDO, Maria Aparecida; SILVA JUNIOR, Celestino Alves (Orgs.). </w:t>
      </w:r>
      <w:r w:rsidRPr="00A9354B">
        <w:rPr>
          <w:b/>
          <w:bCs/>
        </w:rPr>
        <w:t>Formação do educador</w:t>
      </w:r>
      <w:r w:rsidRPr="00A9354B">
        <w:t>: dever do Estado, tarefa da Universidade. São Paulo: Unesp, 1996.</w:t>
      </w:r>
      <w:r w:rsidR="00B8627F" w:rsidRPr="00A9354B">
        <w:t xml:space="preserve"> p. </w:t>
      </w:r>
      <w:r w:rsidR="002E67AB" w:rsidRPr="00A9354B">
        <w:t>39-50</w:t>
      </w:r>
      <w:r w:rsidR="00B8627F" w:rsidRPr="00A9354B">
        <w:t>.</w:t>
      </w:r>
    </w:p>
    <w:p w14:paraId="0B60D724" w14:textId="717F1C79" w:rsidR="001B0BCD" w:rsidRPr="00A9354B" w:rsidRDefault="001B0BCD" w:rsidP="00F14A1F">
      <w:pPr>
        <w:pStyle w:val="NormalWeb"/>
        <w:spacing w:before="120" w:beforeAutospacing="0" w:after="120" w:afterAutospacing="0"/>
      </w:pPr>
      <w:r w:rsidRPr="00A9354B">
        <w:t xml:space="preserve">TARDIF, Maurice. </w:t>
      </w:r>
      <w:r w:rsidRPr="00A9354B">
        <w:rPr>
          <w:b/>
          <w:bCs/>
        </w:rPr>
        <w:t>Saberes docentes e formação profissional</w:t>
      </w:r>
      <w:r w:rsidRPr="00A9354B">
        <w:t>. 11. ed. Petrópolis,</w:t>
      </w:r>
      <w:r w:rsidR="00A16439" w:rsidRPr="00A9354B">
        <w:t xml:space="preserve"> </w:t>
      </w:r>
      <w:r w:rsidRPr="00A9354B">
        <w:t>RJ: Vozes, 2010.</w:t>
      </w:r>
    </w:p>
    <w:p w14:paraId="60F1714B" w14:textId="3F54A1CC" w:rsidR="001B0BCD" w:rsidRPr="00A9354B" w:rsidRDefault="001B0BCD" w:rsidP="00F14A1F">
      <w:pPr>
        <w:pStyle w:val="NormalWeb"/>
        <w:spacing w:before="120" w:beforeAutospacing="0" w:after="120" w:afterAutospacing="0"/>
      </w:pPr>
      <w:r w:rsidRPr="00A9354B">
        <w:t xml:space="preserve">YIN, Robert K. </w:t>
      </w:r>
      <w:r w:rsidRPr="00A9354B">
        <w:rPr>
          <w:b/>
          <w:bCs/>
        </w:rPr>
        <w:t>Estudo de caso: planejamento e métodos</w:t>
      </w:r>
      <w:r w:rsidRPr="00A9354B">
        <w:t>. 2. ed. Porto Alegre: Bookman, 2001.</w:t>
      </w:r>
    </w:p>
    <w:sectPr w:rsidR="001B0BCD" w:rsidRPr="00A9354B">
      <w:headerReference w:type="default" r:id="rId12"/>
      <w:footerReference w:type="default" r:id="rId13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0D72" w14:textId="77777777" w:rsidR="00C80D28" w:rsidRDefault="00C80D28">
      <w:r>
        <w:separator/>
      </w:r>
    </w:p>
  </w:endnote>
  <w:endnote w:type="continuationSeparator" w:id="0">
    <w:p w14:paraId="76C82886" w14:textId="77777777" w:rsidR="00C80D28" w:rsidRDefault="00C8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1677" w14:textId="77777777" w:rsidR="00C80D28" w:rsidRDefault="00C80D28">
      <w:r>
        <w:separator/>
      </w:r>
    </w:p>
  </w:footnote>
  <w:footnote w:type="continuationSeparator" w:id="0">
    <w:p w14:paraId="538289DE" w14:textId="77777777" w:rsidR="00C80D28" w:rsidRDefault="00C80D28">
      <w:r>
        <w:continuationSeparator/>
      </w:r>
    </w:p>
  </w:footnote>
  <w:footnote w:id="1">
    <w:p w14:paraId="0000001B" w14:textId="44BAE858" w:rsidR="00B337D8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504F42">
        <w:rPr>
          <w:color w:val="000000"/>
          <w:sz w:val="20"/>
          <w:szCs w:val="20"/>
        </w:rPr>
        <w:t xml:space="preserve">Doutoranda do </w:t>
      </w:r>
      <w:r w:rsidR="00504F42" w:rsidRPr="00841506">
        <w:rPr>
          <w:color w:val="000000"/>
          <w:sz w:val="20"/>
          <w:szCs w:val="20"/>
        </w:rPr>
        <w:t>Programa</w:t>
      </w:r>
      <w:r w:rsidR="00504F42">
        <w:rPr>
          <w:color w:val="000000"/>
          <w:sz w:val="20"/>
          <w:szCs w:val="20"/>
        </w:rPr>
        <w:t xml:space="preserve"> </w:t>
      </w:r>
      <w:r w:rsidR="00504F42" w:rsidRPr="00841506">
        <w:rPr>
          <w:color w:val="000000"/>
          <w:sz w:val="20"/>
          <w:szCs w:val="20"/>
        </w:rPr>
        <w:t>de Pós-Graduação em Educação</w:t>
      </w:r>
      <w:r w:rsidR="00504F42">
        <w:rPr>
          <w:color w:val="000000"/>
          <w:sz w:val="20"/>
          <w:szCs w:val="20"/>
        </w:rPr>
        <w:t xml:space="preserve"> da Universidade Federal do Amazonas.</w:t>
      </w:r>
    </w:p>
  </w:footnote>
  <w:footnote w:id="2">
    <w:p w14:paraId="0000001C" w14:textId="2DD99C97" w:rsidR="00B337D8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841506" w:rsidRPr="00841506">
        <w:rPr>
          <w:color w:val="000000"/>
          <w:sz w:val="20"/>
          <w:szCs w:val="20"/>
        </w:rPr>
        <w:t xml:space="preserve">Doutora em Ciências da Educação pela Universidade Nova de Lisboa. Professora Adjunta da Universidade Federal do Amazonas </w:t>
      </w:r>
      <w:r w:rsidR="00841506">
        <w:rPr>
          <w:color w:val="000000"/>
          <w:sz w:val="20"/>
          <w:szCs w:val="20"/>
        </w:rPr>
        <w:t>e</w:t>
      </w:r>
      <w:r w:rsidR="00841506" w:rsidRPr="00841506">
        <w:rPr>
          <w:color w:val="000000"/>
          <w:sz w:val="20"/>
          <w:szCs w:val="20"/>
        </w:rPr>
        <w:t xml:space="preserve"> Coordenadora do Programa de Pós-Graduação em Educação.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5E7"/>
    <w:multiLevelType w:val="hybridMultilevel"/>
    <w:tmpl w:val="98FEC822"/>
    <w:lvl w:ilvl="0" w:tplc="B33EF772">
      <w:start w:val="1"/>
      <w:numFmt w:val="decimal"/>
      <w:lvlText w:val="%1)"/>
      <w:lvlJc w:val="left"/>
      <w:pPr>
        <w:ind w:left="3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E0561D4"/>
    <w:multiLevelType w:val="multilevel"/>
    <w:tmpl w:val="76262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B0328"/>
    <w:multiLevelType w:val="hybridMultilevel"/>
    <w:tmpl w:val="3DF6799C"/>
    <w:lvl w:ilvl="0" w:tplc="B3C8749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D9A6E9A"/>
    <w:multiLevelType w:val="hybridMultilevel"/>
    <w:tmpl w:val="28000C3E"/>
    <w:lvl w:ilvl="0" w:tplc="B33EF7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48010BFF"/>
    <w:multiLevelType w:val="hybridMultilevel"/>
    <w:tmpl w:val="B87E2F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86BFB"/>
    <w:multiLevelType w:val="hybridMultilevel"/>
    <w:tmpl w:val="EA08BBF6"/>
    <w:lvl w:ilvl="0" w:tplc="5530AB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D1699E"/>
    <w:multiLevelType w:val="hybridMultilevel"/>
    <w:tmpl w:val="93FEEDE4"/>
    <w:lvl w:ilvl="0" w:tplc="C116E46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B6E5E"/>
    <w:multiLevelType w:val="multilevel"/>
    <w:tmpl w:val="681C5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6152878">
    <w:abstractNumId w:val="7"/>
  </w:num>
  <w:num w:numId="2" w16cid:durableId="2077169965">
    <w:abstractNumId w:val="1"/>
    <w:lvlOverride w:ilvl="0">
      <w:lvl w:ilvl="0">
        <w:numFmt w:val="lowerLetter"/>
        <w:lvlText w:val="%1."/>
        <w:lvlJc w:val="left"/>
      </w:lvl>
    </w:lvlOverride>
  </w:num>
  <w:num w:numId="3" w16cid:durableId="1303392668">
    <w:abstractNumId w:val="1"/>
    <w:lvlOverride w:ilvl="0">
      <w:lvl w:ilvl="0">
        <w:numFmt w:val="lowerLetter"/>
        <w:lvlText w:val="%1."/>
        <w:lvlJc w:val="left"/>
      </w:lvl>
    </w:lvlOverride>
  </w:num>
  <w:num w:numId="4" w16cid:durableId="12921186">
    <w:abstractNumId w:val="1"/>
    <w:lvlOverride w:ilvl="0">
      <w:lvl w:ilvl="0">
        <w:numFmt w:val="lowerLetter"/>
        <w:lvlText w:val="%1."/>
        <w:lvlJc w:val="left"/>
      </w:lvl>
    </w:lvlOverride>
  </w:num>
  <w:num w:numId="5" w16cid:durableId="356741127">
    <w:abstractNumId w:val="0"/>
  </w:num>
  <w:num w:numId="6" w16cid:durableId="1704482009">
    <w:abstractNumId w:val="3"/>
  </w:num>
  <w:num w:numId="7" w16cid:durableId="296763921">
    <w:abstractNumId w:val="2"/>
  </w:num>
  <w:num w:numId="8" w16cid:durableId="893270454">
    <w:abstractNumId w:val="5"/>
  </w:num>
  <w:num w:numId="9" w16cid:durableId="804659107">
    <w:abstractNumId w:val="6"/>
  </w:num>
  <w:num w:numId="10" w16cid:durableId="485127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D8"/>
    <w:rsid w:val="00015254"/>
    <w:rsid w:val="000225A8"/>
    <w:rsid w:val="00023675"/>
    <w:rsid w:val="000340D8"/>
    <w:rsid w:val="0005502A"/>
    <w:rsid w:val="000663E3"/>
    <w:rsid w:val="00067DB0"/>
    <w:rsid w:val="00074147"/>
    <w:rsid w:val="00083B4C"/>
    <w:rsid w:val="000A1EBA"/>
    <w:rsid w:val="000C01A0"/>
    <w:rsid w:val="000C3349"/>
    <w:rsid w:val="000C4917"/>
    <w:rsid w:val="000C74AB"/>
    <w:rsid w:val="000C76A8"/>
    <w:rsid w:val="000E48B4"/>
    <w:rsid w:val="000E5407"/>
    <w:rsid w:val="000F5D97"/>
    <w:rsid w:val="00127D38"/>
    <w:rsid w:val="00144BE1"/>
    <w:rsid w:val="0015045C"/>
    <w:rsid w:val="001529ED"/>
    <w:rsid w:val="0015317D"/>
    <w:rsid w:val="001544B8"/>
    <w:rsid w:val="001556E7"/>
    <w:rsid w:val="00155C67"/>
    <w:rsid w:val="001576E8"/>
    <w:rsid w:val="001628C8"/>
    <w:rsid w:val="00162C27"/>
    <w:rsid w:val="00164DD8"/>
    <w:rsid w:val="0016665B"/>
    <w:rsid w:val="00175538"/>
    <w:rsid w:val="001855B1"/>
    <w:rsid w:val="001A51A5"/>
    <w:rsid w:val="001A7241"/>
    <w:rsid w:val="001B0BCD"/>
    <w:rsid w:val="001B0CA9"/>
    <w:rsid w:val="001B1B39"/>
    <w:rsid w:val="001C7DDF"/>
    <w:rsid w:val="001D4648"/>
    <w:rsid w:val="001D7345"/>
    <w:rsid w:val="001E0502"/>
    <w:rsid w:val="001F1173"/>
    <w:rsid w:val="001F3A73"/>
    <w:rsid w:val="002065C4"/>
    <w:rsid w:val="00236177"/>
    <w:rsid w:val="00241D6C"/>
    <w:rsid w:val="00242135"/>
    <w:rsid w:val="00244D81"/>
    <w:rsid w:val="00245657"/>
    <w:rsid w:val="002A1611"/>
    <w:rsid w:val="002A4D9E"/>
    <w:rsid w:val="002B0E96"/>
    <w:rsid w:val="002B646E"/>
    <w:rsid w:val="002E1795"/>
    <w:rsid w:val="002E2AFD"/>
    <w:rsid w:val="002E47A8"/>
    <w:rsid w:val="002E5A56"/>
    <w:rsid w:val="002E67AB"/>
    <w:rsid w:val="002F2DFE"/>
    <w:rsid w:val="00300271"/>
    <w:rsid w:val="003169C0"/>
    <w:rsid w:val="00320F90"/>
    <w:rsid w:val="0032798B"/>
    <w:rsid w:val="003452A8"/>
    <w:rsid w:val="0035200A"/>
    <w:rsid w:val="003522CD"/>
    <w:rsid w:val="003534F1"/>
    <w:rsid w:val="00367DA6"/>
    <w:rsid w:val="00372822"/>
    <w:rsid w:val="00380446"/>
    <w:rsid w:val="00385CBA"/>
    <w:rsid w:val="003A40E2"/>
    <w:rsid w:val="003A685B"/>
    <w:rsid w:val="003A7AD9"/>
    <w:rsid w:val="003C4CF8"/>
    <w:rsid w:val="003C79DD"/>
    <w:rsid w:val="003D629D"/>
    <w:rsid w:val="003D7021"/>
    <w:rsid w:val="003E17FA"/>
    <w:rsid w:val="003F18E5"/>
    <w:rsid w:val="003F24DD"/>
    <w:rsid w:val="003F72CA"/>
    <w:rsid w:val="00411154"/>
    <w:rsid w:val="004237AC"/>
    <w:rsid w:val="004317C8"/>
    <w:rsid w:val="004320C6"/>
    <w:rsid w:val="00446887"/>
    <w:rsid w:val="00447266"/>
    <w:rsid w:val="004507F3"/>
    <w:rsid w:val="00475E42"/>
    <w:rsid w:val="0048247D"/>
    <w:rsid w:val="004858DF"/>
    <w:rsid w:val="004867D0"/>
    <w:rsid w:val="00492D9A"/>
    <w:rsid w:val="004A01E4"/>
    <w:rsid w:val="004A2023"/>
    <w:rsid w:val="004A3496"/>
    <w:rsid w:val="004A39C6"/>
    <w:rsid w:val="004B0A7D"/>
    <w:rsid w:val="004C49D4"/>
    <w:rsid w:val="004D0330"/>
    <w:rsid w:val="004D58D8"/>
    <w:rsid w:val="004F1F2E"/>
    <w:rsid w:val="004F2813"/>
    <w:rsid w:val="005009C9"/>
    <w:rsid w:val="00500DEF"/>
    <w:rsid w:val="00504F42"/>
    <w:rsid w:val="005262DA"/>
    <w:rsid w:val="00544687"/>
    <w:rsid w:val="00546276"/>
    <w:rsid w:val="00562F49"/>
    <w:rsid w:val="00564A34"/>
    <w:rsid w:val="0057448F"/>
    <w:rsid w:val="00583A8A"/>
    <w:rsid w:val="00594203"/>
    <w:rsid w:val="00595DAF"/>
    <w:rsid w:val="00596021"/>
    <w:rsid w:val="005A1422"/>
    <w:rsid w:val="005B171A"/>
    <w:rsid w:val="005C086D"/>
    <w:rsid w:val="005C27F0"/>
    <w:rsid w:val="005C6643"/>
    <w:rsid w:val="005C66CA"/>
    <w:rsid w:val="005D3BCD"/>
    <w:rsid w:val="005D6BF4"/>
    <w:rsid w:val="005E2C99"/>
    <w:rsid w:val="005E5B29"/>
    <w:rsid w:val="006054DD"/>
    <w:rsid w:val="00606CE1"/>
    <w:rsid w:val="006301F2"/>
    <w:rsid w:val="00636591"/>
    <w:rsid w:val="00656F9D"/>
    <w:rsid w:val="00660C6F"/>
    <w:rsid w:val="00666FC0"/>
    <w:rsid w:val="00672EDF"/>
    <w:rsid w:val="0067346F"/>
    <w:rsid w:val="00686018"/>
    <w:rsid w:val="006A4E91"/>
    <w:rsid w:val="006A606E"/>
    <w:rsid w:val="006B4092"/>
    <w:rsid w:val="006B7ACA"/>
    <w:rsid w:val="006E1711"/>
    <w:rsid w:val="006F21A0"/>
    <w:rsid w:val="007051F4"/>
    <w:rsid w:val="00715B12"/>
    <w:rsid w:val="00715C28"/>
    <w:rsid w:val="007161CE"/>
    <w:rsid w:val="00716DF4"/>
    <w:rsid w:val="007339F7"/>
    <w:rsid w:val="00734995"/>
    <w:rsid w:val="00740BAC"/>
    <w:rsid w:val="00741127"/>
    <w:rsid w:val="00741F5F"/>
    <w:rsid w:val="0076051A"/>
    <w:rsid w:val="00761CA1"/>
    <w:rsid w:val="00775AD3"/>
    <w:rsid w:val="00784341"/>
    <w:rsid w:val="007958D1"/>
    <w:rsid w:val="007A1F6F"/>
    <w:rsid w:val="007A6C32"/>
    <w:rsid w:val="007B1A5C"/>
    <w:rsid w:val="007B5F03"/>
    <w:rsid w:val="007B6A94"/>
    <w:rsid w:val="007D10CC"/>
    <w:rsid w:val="007D5803"/>
    <w:rsid w:val="007D6A9D"/>
    <w:rsid w:val="007F0BC6"/>
    <w:rsid w:val="0080141F"/>
    <w:rsid w:val="0080355B"/>
    <w:rsid w:val="008126A0"/>
    <w:rsid w:val="00813789"/>
    <w:rsid w:val="00841506"/>
    <w:rsid w:val="0084636E"/>
    <w:rsid w:val="00852E15"/>
    <w:rsid w:val="0085335C"/>
    <w:rsid w:val="008657C1"/>
    <w:rsid w:val="008663D0"/>
    <w:rsid w:val="00876B71"/>
    <w:rsid w:val="00892CED"/>
    <w:rsid w:val="008A43E3"/>
    <w:rsid w:val="008B4653"/>
    <w:rsid w:val="008E0215"/>
    <w:rsid w:val="008E63F6"/>
    <w:rsid w:val="008F11A2"/>
    <w:rsid w:val="00901E0F"/>
    <w:rsid w:val="0091476D"/>
    <w:rsid w:val="00917911"/>
    <w:rsid w:val="00930B67"/>
    <w:rsid w:val="00931DA9"/>
    <w:rsid w:val="0093382A"/>
    <w:rsid w:val="00935F8B"/>
    <w:rsid w:val="009377A2"/>
    <w:rsid w:val="00951EF8"/>
    <w:rsid w:val="0095559A"/>
    <w:rsid w:val="009638C3"/>
    <w:rsid w:val="00965CB7"/>
    <w:rsid w:val="00967B33"/>
    <w:rsid w:val="00967E03"/>
    <w:rsid w:val="00970E07"/>
    <w:rsid w:val="0098611B"/>
    <w:rsid w:val="00987E08"/>
    <w:rsid w:val="009912DB"/>
    <w:rsid w:val="00993CFE"/>
    <w:rsid w:val="00995532"/>
    <w:rsid w:val="009A02AC"/>
    <w:rsid w:val="009A3C46"/>
    <w:rsid w:val="009A4389"/>
    <w:rsid w:val="009C3334"/>
    <w:rsid w:val="009C77EB"/>
    <w:rsid w:val="009D788D"/>
    <w:rsid w:val="00A03C5E"/>
    <w:rsid w:val="00A1092C"/>
    <w:rsid w:val="00A119F4"/>
    <w:rsid w:val="00A160C5"/>
    <w:rsid w:val="00A16439"/>
    <w:rsid w:val="00A172D5"/>
    <w:rsid w:val="00A204F8"/>
    <w:rsid w:val="00A236CB"/>
    <w:rsid w:val="00A2686E"/>
    <w:rsid w:val="00A3742C"/>
    <w:rsid w:val="00A41A00"/>
    <w:rsid w:val="00A50EB1"/>
    <w:rsid w:val="00A72574"/>
    <w:rsid w:val="00A73071"/>
    <w:rsid w:val="00A76B60"/>
    <w:rsid w:val="00A9353A"/>
    <w:rsid w:val="00A9354B"/>
    <w:rsid w:val="00A93EEB"/>
    <w:rsid w:val="00A97150"/>
    <w:rsid w:val="00AA458D"/>
    <w:rsid w:val="00AA5F24"/>
    <w:rsid w:val="00AB06C2"/>
    <w:rsid w:val="00AB5AAD"/>
    <w:rsid w:val="00AC61DA"/>
    <w:rsid w:val="00AD2E91"/>
    <w:rsid w:val="00AD66A0"/>
    <w:rsid w:val="00AE1605"/>
    <w:rsid w:val="00AE342A"/>
    <w:rsid w:val="00AE4B86"/>
    <w:rsid w:val="00AE5264"/>
    <w:rsid w:val="00AE5370"/>
    <w:rsid w:val="00AE5A6B"/>
    <w:rsid w:val="00AF202F"/>
    <w:rsid w:val="00B25DA1"/>
    <w:rsid w:val="00B313FE"/>
    <w:rsid w:val="00B3308F"/>
    <w:rsid w:val="00B337D8"/>
    <w:rsid w:val="00B44113"/>
    <w:rsid w:val="00B46125"/>
    <w:rsid w:val="00B47A47"/>
    <w:rsid w:val="00B50655"/>
    <w:rsid w:val="00B52DE6"/>
    <w:rsid w:val="00B5339B"/>
    <w:rsid w:val="00B63732"/>
    <w:rsid w:val="00B658AF"/>
    <w:rsid w:val="00B8020D"/>
    <w:rsid w:val="00B8161B"/>
    <w:rsid w:val="00B8627F"/>
    <w:rsid w:val="00B87619"/>
    <w:rsid w:val="00B9167B"/>
    <w:rsid w:val="00B92E2E"/>
    <w:rsid w:val="00BA3333"/>
    <w:rsid w:val="00BB1CAF"/>
    <w:rsid w:val="00BB6AD2"/>
    <w:rsid w:val="00BD4DDE"/>
    <w:rsid w:val="00BE31E5"/>
    <w:rsid w:val="00BE64FC"/>
    <w:rsid w:val="00BF1673"/>
    <w:rsid w:val="00BF7378"/>
    <w:rsid w:val="00BF73AD"/>
    <w:rsid w:val="00BF73EF"/>
    <w:rsid w:val="00C07212"/>
    <w:rsid w:val="00C16B1C"/>
    <w:rsid w:val="00C30E92"/>
    <w:rsid w:val="00C51FBD"/>
    <w:rsid w:val="00C53D0F"/>
    <w:rsid w:val="00C6511A"/>
    <w:rsid w:val="00C65794"/>
    <w:rsid w:val="00C77BC6"/>
    <w:rsid w:val="00C80D28"/>
    <w:rsid w:val="00C934C4"/>
    <w:rsid w:val="00C955F9"/>
    <w:rsid w:val="00CB732A"/>
    <w:rsid w:val="00CD7F61"/>
    <w:rsid w:val="00CE7680"/>
    <w:rsid w:val="00CE7A31"/>
    <w:rsid w:val="00D0002F"/>
    <w:rsid w:val="00D0050C"/>
    <w:rsid w:val="00D03F77"/>
    <w:rsid w:val="00D0408D"/>
    <w:rsid w:val="00D07ED3"/>
    <w:rsid w:val="00D220E2"/>
    <w:rsid w:val="00D42836"/>
    <w:rsid w:val="00D502C2"/>
    <w:rsid w:val="00D56F4B"/>
    <w:rsid w:val="00D57554"/>
    <w:rsid w:val="00D6224E"/>
    <w:rsid w:val="00D630CE"/>
    <w:rsid w:val="00D86EC4"/>
    <w:rsid w:val="00DA31D9"/>
    <w:rsid w:val="00DB5F6E"/>
    <w:rsid w:val="00DD2F4F"/>
    <w:rsid w:val="00DD7256"/>
    <w:rsid w:val="00DE1F2C"/>
    <w:rsid w:val="00DE2166"/>
    <w:rsid w:val="00DF78C1"/>
    <w:rsid w:val="00E07E90"/>
    <w:rsid w:val="00E11F0F"/>
    <w:rsid w:val="00E11F7C"/>
    <w:rsid w:val="00E17B13"/>
    <w:rsid w:val="00E317D2"/>
    <w:rsid w:val="00E33BB2"/>
    <w:rsid w:val="00E37A09"/>
    <w:rsid w:val="00E437B5"/>
    <w:rsid w:val="00E44B9C"/>
    <w:rsid w:val="00E50EDC"/>
    <w:rsid w:val="00E74652"/>
    <w:rsid w:val="00E879CF"/>
    <w:rsid w:val="00E92C60"/>
    <w:rsid w:val="00E95562"/>
    <w:rsid w:val="00EC53B1"/>
    <w:rsid w:val="00EC704B"/>
    <w:rsid w:val="00ED0176"/>
    <w:rsid w:val="00ED4272"/>
    <w:rsid w:val="00EF7D62"/>
    <w:rsid w:val="00F06C39"/>
    <w:rsid w:val="00F1222F"/>
    <w:rsid w:val="00F12A1B"/>
    <w:rsid w:val="00F14A1F"/>
    <w:rsid w:val="00F15179"/>
    <w:rsid w:val="00F4395F"/>
    <w:rsid w:val="00F53F82"/>
    <w:rsid w:val="00F609F1"/>
    <w:rsid w:val="00F72FD7"/>
    <w:rsid w:val="00F74849"/>
    <w:rsid w:val="00F85F00"/>
    <w:rsid w:val="00F91568"/>
    <w:rsid w:val="00F97B28"/>
    <w:rsid w:val="00F97BB3"/>
    <w:rsid w:val="00FA33F2"/>
    <w:rsid w:val="00FA3C36"/>
    <w:rsid w:val="00FC5ACF"/>
    <w:rsid w:val="00FE5B49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7CDE"/>
  <w15:docId w15:val="{91D84DDE-36A0-4C16-95C5-4C0FA7C9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Fontepargpadro"/>
    <w:rsid w:val="0074112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930B67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30B67"/>
    <w:rPr>
      <w:rFonts w:ascii="Arial MT" w:eastAsia="Arial MT" w:hAnsi="Arial MT" w:cs="Arial MT"/>
      <w:lang w:val="pt-PT" w:eastAsia="en-US"/>
    </w:rPr>
  </w:style>
  <w:style w:type="paragraph" w:customStyle="1" w:styleId="textojustificadorecuoprimeiralinha">
    <w:name w:val="texto_justificado_recuo_primeira_linha"/>
    <w:basedOn w:val="Normal"/>
    <w:rsid w:val="001F3A7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F3A73"/>
    <w:rPr>
      <w:b/>
      <w:bCs/>
    </w:rPr>
  </w:style>
  <w:style w:type="paragraph" w:customStyle="1" w:styleId="textojustificado">
    <w:name w:val="texto_justificado"/>
    <w:basedOn w:val="Normal"/>
    <w:rsid w:val="001F3A73"/>
    <w:pPr>
      <w:spacing w:before="100" w:beforeAutospacing="1" w:after="100" w:afterAutospacing="1"/>
    </w:pPr>
  </w:style>
  <w:style w:type="character" w:customStyle="1" w:styleId="fontstyle21">
    <w:name w:val="fontstyle21"/>
    <w:basedOn w:val="Fontepargpadro"/>
    <w:rsid w:val="001F3A73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867D0"/>
  </w:style>
  <w:style w:type="character" w:styleId="Refdecomentrio">
    <w:name w:val="annotation reference"/>
    <w:basedOn w:val="Fontepargpadro"/>
    <w:uiPriority w:val="99"/>
    <w:semiHidden/>
    <w:unhideWhenUsed/>
    <w:rsid w:val="004867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867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867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67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67D0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52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ttes.cnpq.br/352051834607611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attes.cnpq.br/1722973104327811" TargetMode="External"/><Relationship Id="rId4" Type="http://schemas.openxmlformats.org/officeDocument/2006/relationships/styles" Target="styles.xml"/><Relationship Id="rId9" Type="http://schemas.openxmlformats.org/officeDocument/2006/relationships/hyperlink" Target="http://lattes.cnpq.br/94294099393243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Props1.xml><?xml version="1.0" encoding="utf-8"?>
<ds:datastoreItem xmlns:ds="http://schemas.openxmlformats.org/officeDocument/2006/customXml" ds:itemID="{4067DBE8-6185-4E03-8AF3-42C2814B0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1922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Oliveira</dc:creator>
  <cp:lastModifiedBy>User</cp:lastModifiedBy>
  <cp:revision>5</cp:revision>
  <dcterms:created xsi:type="dcterms:W3CDTF">2023-07-30T19:49:00Z</dcterms:created>
  <dcterms:modified xsi:type="dcterms:W3CDTF">2023-07-30T19:52:00Z</dcterms:modified>
</cp:coreProperties>
</file>