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F1AC" w14:textId="77777777" w:rsidR="00F87532" w:rsidRDefault="00F87532" w:rsidP="00F87532">
      <w:pPr>
        <w:spacing w:after="0" w:line="240" w:lineRule="auto"/>
        <w:jc w:val="center"/>
        <w:rPr>
          <w:rFonts w:ascii="Arial" w:hAnsi="Arial" w:cs="Arial"/>
          <w:b/>
        </w:rPr>
      </w:pPr>
    </w:p>
    <w:p w14:paraId="63843E8E" w14:textId="77777777" w:rsidR="00F87532" w:rsidRDefault="00F87532" w:rsidP="00F8753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SIMULAÇÃO DE UM VEÍCULO SUBMARINO TELEOPERADO REMOTAMENTE EM UM AMBIENTE SIMULADO COM O USO UNITY E ROS2 </w:t>
      </w:r>
    </w:p>
    <w:p w14:paraId="34653296" w14:textId="77777777" w:rsidR="00E06086" w:rsidRDefault="00E0608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F256EC5" w14:textId="77777777" w:rsidR="00F87532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F87532">
        <w:rPr>
          <w:rFonts w:ascii="Arial" w:hAnsi="Arial" w:cs="Arial"/>
          <w:b/>
          <w:bCs/>
          <w:sz w:val="20"/>
          <w:szCs w:val="20"/>
        </w:rPr>
        <w:t>Matheus Anselmo da Silva</w:t>
      </w:r>
      <w:r>
        <w:rPr>
          <w:rFonts w:ascii="Arial" w:hAnsi="Arial" w:cs="Arial"/>
          <w:sz w:val="20"/>
          <w:szCs w:val="20"/>
          <w:vertAlign w:val="superscript"/>
        </w:rPr>
        <w:t xml:space="preserve"> 1</w:t>
      </w:r>
      <w:r>
        <w:rPr>
          <w:rFonts w:ascii="Arial" w:hAnsi="Arial" w:cs="Arial"/>
          <w:sz w:val="20"/>
          <w:szCs w:val="20"/>
        </w:rPr>
        <w:t>; Bruno Schettini Soares Perreira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1A174154" w14:textId="77777777" w:rsidR="00F87532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Bolsista; matheusanselmo97@gmail.com</w:t>
      </w:r>
    </w:p>
    <w:p w14:paraId="0931EB1E" w14:textId="77777777" w:rsidR="00F87532" w:rsidRDefault="00F87532" w:rsidP="00F875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>
        <w:rPr>
          <w:rFonts w:ascii="Arial" w:hAnsi="Arial" w:cs="Arial"/>
          <w:sz w:val="20"/>
          <w:szCs w:val="20"/>
        </w:rPr>
        <w:t>Salvador-BA</w:t>
      </w:r>
      <w:proofErr w:type="spellEnd"/>
      <w:r>
        <w:rPr>
          <w:rFonts w:ascii="Arial" w:hAnsi="Arial" w:cs="Arial"/>
          <w:sz w:val="20"/>
          <w:szCs w:val="20"/>
        </w:rPr>
        <w:t>; bruno.pereira@fieb.org.br</w:t>
      </w:r>
    </w:p>
    <w:p w14:paraId="0A169279" w14:textId="77777777" w:rsidR="00E06086" w:rsidRDefault="00E0608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2BA6532" w14:textId="77777777" w:rsidR="00F87532" w:rsidRDefault="00F87532" w:rsidP="00F8753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RESUMO</w:t>
      </w:r>
    </w:p>
    <w:p w14:paraId="73C917B0" w14:textId="77777777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objetivo deste material é apresentar o desenvolvimento parcial da reprodução do veículo submarino BlueROV2 em um ambiente simulado. Os desenvolvimentos foram feitos usando as plataformas ROS2 e Unity. A primeira plataforma é um middleware bastante usado para desenvolvimento de sistemas robóticos, e a segunda é famosa pela concepção de jogos eletrônicos. São apresentadas as estratégias usadas para simular a dinâmica dos propulsores (</w:t>
      </w:r>
      <w:proofErr w:type="spellStart"/>
      <w:r w:rsidRPr="00F87532">
        <w:rPr>
          <w:rFonts w:ascii="Arial" w:eastAsia="Arial" w:hAnsi="Arial" w:cs="Arial"/>
          <w:i/>
          <w:iCs/>
          <w:sz w:val="18"/>
          <w:szCs w:val="18"/>
        </w:rPr>
        <w:t>thrusters</w:t>
      </w:r>
      <w:proofErr w:type="spellEnd"/>
      <w:r>
        <w:rPr>
          <w:rFonts w:ascii="Arial" w:eastAsia="Arial" w:hAnsi="Arial" w:cs="Arial"/>
          <w:sz w:val="18"/>
          <w:szCs w:val="18"/>
        </w:rPr>
        <w:t>), elementos responsáveis pela locomoção do veículo, assim como o uso da matriz de alocação juntamente com a estratégia para realizar a tele operação. Para validar a execução do veículo com seus graus de liberdade, são apresentados gráficos que coletam a posição linear do veículo. Dados visuais da câmera também são apresentados, já que se considera replicar a capacidade de sensoriamento do veículo. O objetivo da reprodução do BlueROV2 em ambiente simulado é que ele seja usado em aplicações que têm por alvo estratégias de controle.</w:t>
      </w:r>
    </w:p>
    <w:p w14:paraId="24F9C157" w14:textId="13CB54A8" w:rsidR="00E06086" w:rsidRDefault="00F87532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PALAVRAS-CHAVE:</w:t>
      </w:r>
      <w:r>
        <w:rPr>
          <w:rFonts w:ascii="Arial" w:hAnsi="Arial" w:cs="Arial"/>
          <w:sz w:val="18"/>
          <w:szCs w:val="18"/>
        </w:rPr>
        <w:t xml:space="preserve"> ROS2; UNITY; Tele Operação; </w:t>
      </w:r>
      <w:proofErr w:type="spellStart"/>
      <w:r>
        <w:rPr>
          <w:rFonts w:ascii="Arial" w:hAnsi="Arial" w:cs="Arial"/>
          <w:sz w:val="18"/>
          <w:szCs w:val="18"/>
        </w:rPr>
        <w:t>ROVs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EB12B06" w14:textId="77777777" w:rsidR="00F87532" w:rsidRPr="00F87532" w:rsidRDefault="00F87532">
      <w:pPr>
        <w:spacing w:after="0" w:line="240" w:lineRule="auto"/>
        <w:jc w:val="both"/>
        <w:rPr>
          <w:rFonts w:ascii="Arial" w:eastAsiaTheme="minorHAnsi" w:hAnsi="Arial" w:cs="Arial"/>
          <w:sz w:val="18"/>
          <w:szCs w:val="18"/>
        </w:rPr>
      </w:pPr>
    </w:p>
    <w:p w14:paraId="1C7AFB21" w14:textId="77777777" w:rsidR="00E06086" w:rsidRDefault="00CD6C0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3500D045" w14:textId="77777777" w:rsidR="00E06086" w:rsidRDefault="00CD6C0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6CF89B8" w14:textId="0A65EE81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simulação de sistemas robóticos e outros sistemas autônomos têm se tornado uma prática fundamental para a reprodução das dinâmicas desses veículos em diferentes ambientes operacionais. A simulação de sistemas robóticos, especialmente aqueles utilizados em aplicações submarinas, como </w:t>
      </w:r>
      <w:proofErr w:type="spellStart"/>
      <w:r>
        <w:rPr>
          <w:rFonts w:ascii="Arial" w:eastAsia="Arial" w:hAnsi="Arial" w:cs="Arial"/>
          <w:sz w:val="20"/>
          <w:szCs w:val="20"/>
        </w:rPr>
        <w:t>ROVs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(veículos submarinos operados remotamente) e </w:t>
      </w:r>
      <w:proofErr w:type="spellStart"/>
      <w:r>
        <w:rPr>
          <w:rFonts w:ascii="Arial" w:eastAsia="Arial" w:hAnsi="Arial" w:cs="Arial"/>
          <w:sz w:val="20"/>
          <w:szCs w:val="20"/>
        </w:rPr>
        <w:t>AUVs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(veículos submarinos autônomos), pode ser dividida em três principais grupos: a reprodução de elementos sensoriais, como sonares e câmeras; a simulação de propulsores e atuadores; e a implementação de estratégias e ações de controle. Além disso, é necessário simular o ambiente em que o sistema robótico será utilizado, reproduzindo características visuais e físicas semelhantes às encontradas no ambiente real.</w:t>
      </w:r>
    </w:p>
    <w:p w14:paraId="12E35248" w14:textId="083C8D37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simulador Gazebo é uma d</w:t>
      </w:r>
      <w:r w:rsidR="00826A93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principais ferramentas utilizadas para a simulação de sistemas robóticos submarinos, fornecendo plugins capazes de reproduzir forças físicas, como arrasto (</w:t>
      </w:r>
      <w:r w:rsidRPr="00F87532">
        <w:rPr>
          <w:rFonts w:ascii="Arial" w:eastAsia="Arial" w:hAnsi="Arial" w:cs="Arial"/>
          <w:i/>
          <w:iCs/>
          <w:sz w:val="20"/>
          <w:szCs w:val="20"/>
        </w:rPr>
        <w:t>drag force</w:t>
      </w:r>
      <w:r>
        <w:rPr>
          <w:rFonts w:ascii="Arial" w:eastAsia="Arial" w:hAnsi="Arial" w:cs="Arial"/>
          <w:sz w:val="20"/>
          <w:szCs w:val="20"/>
        </w:rPr>
        <w:t>), empuxo (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buoyancy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e forças produzidas pelos elementos de propulsão. Essa reprodução fenomenológica é um dos principais benefícios do uso do Gazebo. </w:t>
      </w:r>
      <w:r w:rsidR="00826A93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stes plugins são usados no UUV simulador, uma famosa plataforma para simulação de veículos submarinos juntamente com o ambiente submarino. No entanto, em termos de aplicação de visão computacional, o Gazebo tem algumas limitações em comparação a outras ferramentas, como a Unity. O Unity possui uma grade variedade cores, texturas e efeitos visuais que podem ser aplicados em diversos objetos.</w:t>
      </w:r>
    </w:p>
    <w:p w14:paraId="35D84024" w14:textId="77777777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execução de uma ação de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um veículo submarino em uma plataforma que possa reproduzir a física do ambiente e os aspectos visuais com grau de similaridade com o ambiente real pode ser de grande para o desenvolvimento de um sistema robótico submarino. Esses aspectos visuais podem ser direcionados para aplicações de visão computacional, enquanto a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pode ser usada para implementar estratégias de controle nos veículos.</w:t>
      </w:r>
    </w:p>
    <w:p w14:paraId="44217075" w14:textId="5C14B84E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objetivo deste trabalho é apresentar a simulação do veículo submarino BlueROV2, representando na Figura 1, utilizando como ferramentas o ROS2 (</w:t>
      </w:r>
      <w:proofErr w:type="spellStart"/>
      <w:r>
        <w:rPr>
          <w:rFonts w:ascii="Arial" w:eastAsia="Arial" w:hAnsi="Arial" w:cs="Arial"/>
          <w:sz w:val="20"/>
          <w:szCs w:val="20"/>
        </w:rPr>
        <w:t>Robot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Operating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System) e a plataforma de desenvolvimento de jogos Unity. O material apresenta o desenvolvimento tanto da dinâmica submarina quanto dos aspectos visuais do </w:t>
      </w:r>
      <w:r w:rsidR="00826A93">
        <w:rPr>
          <w:rFonts w:ascii="Arial" w:eastAsia="Arial" w:hAnsi="Arial" w:cs="Arial"/>
          <w:sz w:val="20"/>
          <w:szCs w:val="20"/>
        </w:rPr>
        <w:t>ambiente simulado</w:t>
      </w:r>
      <w:r>
        <w:rPr>
          <w:rFonts w:ascii="Arial" w:eastAsia="Arial" w:hAnsi="Arial" w:cs="Arial"/>
          <w:sz w:val="20"/>
          <w:szCs w:val="20"/>
        </w:rPr>
        <w:t>.</w:t>
      </w:r>
    </w:p>
    <w:p w14:paraId="50300BD8" w14:textId="1916D6DD" w:rsidR="00F87532" w:rsidRDefault="00F87532" w:rsidP="00F87532">
      <w:pPr>
        <w:spacing w:after="0" w:line="240" w:lineRule="auto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Figura 1: Veículo submarino BlueROV2</w:t>
      </w:r>
    </w:p>
    <w:p w14:paraId="5E4345FE" w14:textId="3EF5729F" w:rsidR="00F87532" w:rsidRDefault="00F87532" w:rsidP="00F87532">
      <w:pPr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67B2C4AD" wp14:editId="7ECAA3A8">
            <wp:extent cx="2125980" cy="1424940"/>
            <wp:effectExtent l="0" t="0" r="7620" b="3810"/>
            <wp:docPr id="1549027289" name="Imagem 1549027289" descr="Moto azul e pret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27289" name="Imagem 1" descr="Moto azul e pret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10A06" w14:textId="77777777" w:rsidR="00F87532" w:rsidRDefault="00F87532" w:rsidP="00F87532">
      <w:pPr>
        <w:spacing w:after="0" w:line="240" w:lineRule="auto"/>
        <w:ind w:firstLine="708"/>
        <w:jc w:val="center"/>
      </w:pPr>
      <w:r>
        <w:t>Fonte: https://bluerobotics.com/</w:t>
      </w:r>
    </w:p>
    <w:p w14:paraId="354A5F79" w14:textId="77777777" w:rsidR="00F87532" w:rsidRDefault="00F87532" w:rsidP="00F87532">
      <w:pPr>
        <w:spacing w:after="0" w:line="240" w:lineRule="auto"/>
        <w:jc w:val="both"/>
      </w:pPr>
    </w:p>
    <w:p w14:paraId="7E91CEA4" w14:textId="77777777" w:rsidR="00E06086" w:rsidRDefault="00E0608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AB1680F" w14:textId="77777777" w:rsidR="00E06086" w:rsidRDefault="00CD6C0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2. METODOLOGIA</w:t>
      </w:r>
    </w:p>
    <w:p w14:paraId="42F1D24D" w14:textId="77777777" w:rsidR="00E06086" w:rsidRDefault="00E0608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122DC3" w14:textId="227C185B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propulsores são elementos fundamentais para proporcionar movimento aos veículos submarinos não tripulados. A virtualização des</w:t>
      </w:r>
      <w:r w:rsidR="00826A93"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es elementos no Unity, visando à reprodução da geração de forças, foi fortemente baseada na </w:t>
      </w:r>
      <w:r w:rsidR="00826A93">
        <w:rPr>
          <w:rFonts w:ascii="Arial" w:eastAsia="Arial" w:hAnsi="Arial" w:cs="Arial"/>
          <w:sz w:val="20"/>
          <w:szCs w:val="20"/>
        </w:rPr>
        <w:t>aplicação</w:t>
      </w:r>
      <w:r>
        <w:rPr>
          <w:rFonts w:ascii="Arial" w:eastAsia="Arial" w:hAnsi="Arial" w:cs="Arial"/>
          <w:sz w:val="20"/>
          <w:szCs w:val="20"/>
        </w:rPr>
        <w:t xml:space="preserve"> realizada para o UUV Simulator. Para reproduzir a dinâmica dos propulsores, optou-se pelo modelo de ordem zero, onde o sinal de entrada é igual à saída. O sinal de entrada corresponde à velocidade, enquanto a saída corresponde à velocidade de rotação angular. Para determinar a força gerada pelos propulsores, utilizou-se o modelo de conversão básico, proposto por </w:t>
      </w:r>
      <w:proofErr w:type="spellStart"/>
      <w:r>
        <w:rPr>
          <w:rFonts w:ascii="Arial" w:eastAsia="Arial" w:hAnsi="Arial" w:cs="Arial"/>
          <w:sz w:val="20"/>
          <w:szCs w:val="20"/>
        </w:rPr>
        <w:t>Youguer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segundo o qual a potência produzida é o produto da velocidade angular da hélice do propulsor pelo seu valor em módulo. Além da virtualização dos propulsores, empregou-se uma matriz de alocação de propulsores, baseado no trabalho de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, para selecionar a força ou torque necessários para o veículo simulado realizar os movimentos. </w:t>
      </w:r>
    </w:p>
    <w:p w14:paraId="4D7263D0" w14:textId="77777777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BlueROV2 apresenta quatro graus de liberdade: surge, responsável pelo movimento linear no eixo x;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sway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movimento lateral linear no eixo y;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aplicado aos deslocamentos no eixo z; 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yaw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correspondente à rotação no eixo do veículo. Visando realizar a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>, permitindo que o operador utilize os quatro graus de liberdade para a navegação do veículo, desenvolveu-se um nó em ROS2 para receber os comandos do operador e utilizá-los como entrada para a matriz de alocação de propulsores. A Figura 2 ilustra o esquemático da comunicação entre o ROS2 e o Unity, sendo apresentado o ROS TCP-CONNECTOR</w:t>
      </w:r>
      <w:r>
        <w:rPr>
          <w:rFonts w:ascii="Arial" w:hAnsi="Arial" w:cs="Arial"/>
          <w:sz w:val="20"/>
          <w:szCs w:val="20"/>
          <w:vertAlign w:val="superscript"/>
        </w:rPr>
        <w:t xml:space="preserve"> 3</w:t>
      </w:r>
      <w:r>
        <w:rPr>
          <w:rFonts w:ascii="Arial" w:eastAsia="Arial" w:hAnsi="Arial" w:cs="Arial"/>
          <w:sz w:val="20"/>
          <w:szCs w:val="20"/>
        </w:rPr>
        <w:t>, pacote de softwares responsável pela troca de dados entre as plataformas.</w:t>
      </w:r>
    </w:p>
    <w:p w14:paraId="386BF176" w14:textId="7C2711AB" w:rsidR="00F87532" w:rsidRDefault="00826A93" w:rsidP="00F87532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Com o objetivo </w:t>
      </w:r>
      <w:r w:rsidR="00F87532">
        <w:rPr>
          <w:rFonts w:ascii="Arial" w:eastAsia="Arial" w:hAnsi="Arial" w:cs="Arial"/>
          <w:sz w:val="20"/>
          <w:szCs w:val="20"/>
        </w:rPr>
        <w:t xml:space="preserve">de reproduzir a dinâmica submarina, com a presença das forças de arrasto e empuxo foi utilizado o pacote de </w:t>
      </w:r>
      <w:r w:rsidR="00F87532">
        <w:rPr>
          <w:rFonts w:ascii="Arial" w:eastAsia="Arial" w:hAnsi="Arial" w:cs="Arial"/>
          <w:i/>
          <w:iCs/>
          <w:sz w:val="20"/>
          <w:szCs w:val="20"/>
        </w:rPr>
        <w:t>softwares, DWP</w:t>
      </w:r>
      <w:r w:rsidR="00F87532">
        <w:rPr>
          <w:rFonts w:ascii="Arial" w:hAnsi="Arial" w:cs="Arial"/>
          <w:sz w:val="20"/>
          <w:szCs w:val="20"/>
          <w:vertAlign w:val="superscript"/>
        </w:rPr>
        <w:t xml:space="preserve"> 4</w:t>
      </w:r>
      <w:r w:rsidR="00F87532">
        <w:rPr>
          <w:rFonts w:ascii="Arial" w:eastAsia="Arial" w:hAnsi="Arial" w:cs="Arial"/>
          <w:sz w:val="20"/>
          <w:szCs w:val="20"/>
        </w:rPr>
        <w:t>.</w:t>
      </w:r>
    </w:p>
    <w:p w14:paraId="201B1FF9" w14:textId="31748502" w:rsidR="00F87532" w:rsidRPr="00F87532" w:rsidRDefault="00F87532" w:rsidP="00F87532">
      <w:pPr>
        <w:spacing w:after="0" w:line="240" w:lineRule="auto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2: </w:t>
      </w:r>
      <w:r w:rsidR="00826A93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squemático de comunicação entre o ROS2 e o Unity.</w:t>
      </w:r>
    </w:p>
    <w:p w14:paraId="4BA660B5" w14:textId="00EFA6F9" w:rsidR="00F87532" w:rsidRDefault="00F87532" w:rsidP="00F87532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4B9FD098" wp14:editId="7A0DDD4C">
            <wp:extent cx="5349240" cy="1805940"/>
            <wp:effectExtent l="0" t="0" r="3810" b="3810"/>
            <wp:docPr id="2135265834" name="Imagem 213526583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265834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E402" w14:textId="77777777" w:rsidR="00F87532" w:rsidRDefault="00F87532" w:rsidP="00F87532">
      <w:pPr>
        <w:spacing w:after="0" w:line="240" w:lineRule="auto"/>
        <w:ind w:firstLine="708"/>
        <w:jc w:val="center"/>
      </w:pPr>
      <w:r>
        <w:t>Fonte: Própria</w:t>
      </w:r>
    </w:p>
    <w:p w14:paraId="5A4557D7" w14:textId="77777777" w:rsidR="00E06086" w:rsidRDefault="00E0608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147C97E" w14:textId="77777777" w:rsidR="00E06086" w:rsidRDefault="00CD6C0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75DA1F2E" w14:textId="2CC5D766" w:rsidR="00F87532" w:rsidRDefault="00F87532" w:rsidP="00F87532">
      <w:pPr>
        <w:spacing w:after="0" w:line="240" w:lineRule="auto"/>
        <w:ind w:firstLine="708"/>
        <w:jc w:val="both"/>
      </w:pPr>
      <w:r>
        <w:rPr>
          <w:rFonts w:ascii="Arial" w:eastAsia="Arial" w:hAnsi="Arial" w:cs="Arial"/>
          <w:sz w:val="20"/>
          <w:szCs w:val="20"/>
        </w:rPr>
        <w:t>A simulação do</w:t>
      </w:r>
      <w:r w:rsidR="00826A9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BlueROV2 foi executada no ambiente Unity</w:t>
      </w:r>
      <w:r w:rsidR="00826A93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Os movimentos de</w:t>
      </w:r>
      <w:r w:rsidRPr="00826A93">
        <w:rPr>
          <w:rFonts w:ascii="Arial" w:eastAsia="Arial" w:hAnsi="Arial" w:cs="Arial"/>
          <w:i/>
          <w:iCs/>
          <w:sz w:val="20"/>
          <w:szCs w:val="20"/>
        </w:rPr>
        <w:t xml:space="preserve"> surge</w:t>
      </w:r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826A93">
        <w:rPr>
          <w:rFonts w:ascii="Arial" w:eastAsia="Arial" w:hAnsi="Arial" w:cs="Arial"/>
          <w:i/>
          <w:iCs/>
          <w:sz w:val="20"/>
          <w:szCs w:val="20"/>
        </w:rPr>
        <w:t>sway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foram executados com sucesso, porém a dinâmica das forças de empuxo reproduzidas pelo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DWP não permitiu a execução adequada do movimento de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O gráfico da Figura 3 apresenta a posição do veículo após receber entrada para os graus de liberdade de surge,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sway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É importante destacar que no Unity, o eixo z é associado aos movimentos laterais, enquanto o eixo Y está associado ao movimento de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BEB1B8D" w14:textId="7A3F273A" w:rsidR="00F87532" w:rsidRDefault="00F87532" w:rsidP="00F87532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3: Gráfico da posição linear para os movimentos surge,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sway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158CC32C" w14:textId="28DB5A3D" w:rsidR="00F87532" w:rsidRDefault="00F87532" w:rsidP="00F87532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  <w:r>
        <w:rPr>
          <w:noProof/>
        </w:rPr>
        <w:drawing>
          <wp:inline distT="0" distB="0" distL="0" distR="0" wp14:anchorId="16A574B9" wp14:editId="223D6869">
            <wp:extent cx="5631180" cy="1775460"/>
            <wp:effectExtent l="0" t="0" r="7620" b="0"/>
            <wp:docPr id="1542342609" name="Imagem 1542342609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42609" name="Imagem 4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2562" w14:textId="77777777" w:rsidR="00F87532" w:rsidRDefault="00F87532" w:rsidP="00F87532">
      <w:pPr>
        <w:spacing w:after="0" w:line="240" w:lineRule="auto"/>
        <w:jc w:val="center"/>
      </w:pPr>
      <w:r>
        <w:t>Fonte: Própria.</w:t>
      </w:r>
    </w:p>
    <w:p w14:paraId="232EF57F" w14:textId="07E15218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realização do movimento </w:t>
      </w:r>
      <w:proofErr w:type="spellStart"/>
      <w:r w:rsidRPr="001D29B6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 w:rsidRPr="001D29B6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veículo simulado não foi </w:t>
      </w:r>
      <w:r w:rsidR="001D29B6">
        <w:rPr>
          <w:rFonts w:ascii="Arial" w:eastAsia="Arial" w:hAnsi="Arial" w:cs="Arial"/>
          <w:sz w:val="20"/>
          <w:szCs w:val="20"/>
        </w:rPr>
        <w:t>bem-sucedida</w:t>
      </w:r>
      <w:r>
        <w:rPr>
          <w:rFonts w:ascii="Arial" w:eastAsia="Arial" w:hAnsi="Arial" w:cs="Arial"/>
          <w:sz w:val="20"/>
          <w:szCs w:val="20"/>
        </w:rPr>
        <w:t xml:space="preserve"> devido às características do ambiente em relação às forças de empuxo</w:t>
      </w:r>
      <w:r w:rsidR="001D29B6">
        <w:rPr>
          <w:rFonts w:ascii="Arial" w:eastAsia="Arial" w:hAnsi="Arial" w:cs="Arial"/>
          <w:sz w:val="20"/>
          <w:szCs w:val="20"/>
        </w:rPr>
        <w:t xml:space="preserve">. No Unity, o </w:t>
      </w:r>
      <w:proofErr w:type="spellStart"/>
      <w:r w:rsidR="001D29B6">
        <w:rPr>
          <w:rFonts w:ascii="Arial" w:eastAsia="Arial" w:hAnsi="Arial" w:cs="Arial"/>
          <w:sz w:val="20"/>
          <w:szCs w:val="20"/>
        </w:rPr>
        <w:t>asset</w:t>
      </w:r>
      <w:proofErr w:type="spellEnd"/>
      <w:r w:rsidR="001D29B6">
        <w:rPr>
          <w:rFonts w:ascii="Arial" w:eastAsia="Arial" w:hAnsi="Arial" w:cs="Arial"/>
          <w:sz w:val="20"/>
          <w:szCs w:val="20"/>
        </w:rPr>
        <w:t xml:space="preserve"> DWP não apresenta uma hidrodinâmica submarina coerente o suficiente para executar simulações de </w:t>
      </w:r>
      <w:proofErr w:type="spellStart"/>
      <w:r w:rsidR="001D29B6">
        <w:rPr>
          <w:rFonts w:ascii="Arial" w:eastAsia="Arial" w:hAnsi="Arial" w:cs="Arial"/>
          <w:sz w:val="20"/>
          <w:szCs w:val="20"/>
        </w:rPr>
        <w:t>ROVs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Para a representação visual, a simulação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apresentou bons resultados e uma textura bastante semelhante aos ambientes reais, que pode ser notado na Figura 4, onde a imagem </w:t>
      </w:r>
      <w:r w:rsidR="001D29B6"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</w:rPr>
        <w:t>barris, que estão posicionados no ambiente submarino é capturada.</w:t>
      </w:r>
    </w:p>
    <w:p w14:paraId="5B8CDB42" w14:textId="77777777" w:rsidR="00F87532" w:rsidRDefault="00F87532" w:rsidP="00F87532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14:paraId="45C44FD0" w14:textId="0E201AEE" w:rsidR="00F87532" w:rsidRDefault="00F87532" w:rsidP="00F87532">
      <w:pPr>
        <w:spacing w:after="0" w:line="240" w:lineRule="auto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Figura 4: Imagem capturada em ambiente </w:t>
      </w:r>
      <w:r w:rsidR="001D29B6" w:rsidRPr="001D29B6">
        <w:rPr>
          <w:rFonts w:ascii="Arial" w:eastAsia="Arial" w:hAnsi="Arial" w:cs="Arial"/>
          <w:sz w:val="20"/>
          <w:szCs w:val="20"/>
        </w:rPr>
        <w:t>submarino</w:t>
      </w:r>
      <w:r>
        <w:rPr>
          <w:rFonts w:ascii="Arial" w:eastAsia="Arial" w:hAnsi="Arial" w:cs="Arial"/>
          <w:sz w:val="20"/>
          <w:szCs w:val="20"/>
        </w:rPr>
        <w:t>.</w:t>
      </w:r>
    </w:p>
    <w:p w14:paraId="1736BA6D" w14:textId="59A6E1BE" w:rsidR="00F87532" w:rsidRDefault="00F87532" w:rsidP="00F87532">
      <w:pPr>
        <w:spacing w:after="0" w:line="240" w:lineRule="auto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47BA0F1" wp14:editId="417C53C7">
            <wp:extent cx="2034540" cy="2590800"/>
            <wp:effectExtent l="0" t="0" r="3810" b="0"/>
            <wp:docPr id="1609000799" name="Imagem 1609000799" descr="Uma imagem contendo barril, cheio, comida, garraf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000799" name="Imagem 3" descr="Uma imagem contendo barril, cheio, comida, garraf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B59A" w14:textId="77777777" w:rsidR="00F87532" w:rsidRDefault="00F87532" w:rsidP="00F87532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Própria.</w:t>
      </w:r>
    </w:p>
    <w:p w14:paraId="17F386BB" w14:textId="77777777" w:rsidR="00E06086" w:rsidRDefault="00E0608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48466F5" w14:textId="77777777" w:rsidR="00E06086" w:rsidRDefault="00CD6C0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60CF56AB" w14:textId="77777777" w:rsidR="00F87532" w:rsidRDefault="00F87532" w:rsidP="00F8753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aplicação da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o veículo submarino BlueROV2 foi realizada com sucesso para dois graus de liberdade, surge 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sway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Contudo, a reprodução do movimento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não obteve êxito devido às limitações do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00F8753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DWP em reproduzir a dinâmica dos ambientes submarinos com fidelidade adequada. A adequação deste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00F8753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pode ser considerada para simulações com um nível de fidelidade mais elevado.</w:t>
      </w:r>
    </w:p>
    <w:p w14:paraId="75EE8782" w14:textId="17BBBC8E" w:rsidR="00E06086" w:rsidRPr="00F87532" w:rsidRDefault="00F87532" w:rsidP="00F87532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graus de liberdade disponíveis podem ser empregados para simular operações de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veículo em proximidade da superfície. Além da </w:t>
      </w:r>
      <w:proofErr w:type="spellStart"/>
      <w:r>
        <w:rPr>
          <w:rFonts w:ascii="Arial" w:eastAsia="Arial" w:hAnsi="Arial" w:cs="Arial"/>
          <w:sz w:val="20"/>
          <w:szCs w:val="20"/>
        </w:rPr>
        <w:t>teleoperação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técnicas de controle também podem ser testadas, ainda que a ausência de ações de controle para o movimento </w:t>
      </w:r>
      <w:proofErr w:type="spellStart"/>
      <w:r w:rsidRPr="00F87532">
        <w:rPr>
          <w:rFonts w:ascii="Arial" w:eastAsia="Arial" w:hAnsi="Arial" w:cs="Arial"/>
          <w:i/>
          <w:iCs/>
          <w:sz w:val="20"/>
          <w:szCs w:val="20"/>
        </w:rPr>
        <w:t>heave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deva ser levada em consideração.</w:t>
      </w:r>
    </w:p>
    <w:p w14:paraId="5AD18022" w14:textId="77777777" w:rsidR="00E06086" w:rsidRPr="0043115B" w:rsidRDefault="00CD6C0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43115B">
        <w:rPr>
          <w:rFonts w:ascii="Arial" w:eastAsia="Arial" w:hAnsi="Arial" w:cs="Arial"/>
          <w:b/>
          <w:sz w:val="20"/>
          <w:szCs w:val="20"/>
          <w:lang w:val="en-US"/>
        </w:rPr>
        <w:t>5. REFERÊNCIAS</w:t>
      </w:r>
    </w:p>
    <w:p w14:paraId="5F3E73FF" w14:textId="77777777" w:rsidR="00F87532" w:rsidRPr="0043115B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14:paraId="79F4D73F" w14:textId="77777777" w:rsidR="00F87532" w:rsidRPr="00F87532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7532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F87532">
        <w:rPr>
          <w:rFonts w:ascii="Arial" w:hAnsi="Arial" w:cs="Arial"/>
          <w:sz w:val="20"/>
          <w:szCs w:val="20"/>
          <w:lang w:val="en-US"/>
        </w:rPr>
        <w:t xml:space="preserve">MANHÃES, Musa; SCHERER, Sebastian; VOSS, Martin; DOAUT, Luiz; RAUSCHENBACH, Thomas. (2016). </w:t>
      </w:r>
      <w:r w:rsidRPr="00F87532">
        <w:rPr>
          <w:rFonts w:ascii="Arial" w:hAnsi="Arial" w:cs="Arial"/>
          <w:b/>
          <w:bCs/>
          <w:sz w:val="20"/>
          <w:szCs w:val="20"/>
          <w:lang w:val="en-US"/>
        </w:rPr>
        <w:t>UUV Simulator: A Gazebo-based Package for Underwater Intervention and Multi-Robot Simulation</w:t>
      </w:r>
      <w:r w:rsidRPr="00F87532">
        <w:rPr>
          <w:rFonts w:ascii="Arial" w:hAnsi="Arial" w:cs="Arial"/>
          <w:sz w:val="20"/>
          <w:szCs w:val="20"/>
          <w:lang w:val="en-US"/>
        </w:rPr>
        <w:t>. 10.1109/OCEANS.2016.7761080.</w:t>
      </w:r>
    </w:p>
    <w:p w14:paraId="40F29561" w14:textId="77777777" w:rsidR="00F87532" w:rsidRPr="00F87532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7532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F87532">
        <w:rPr>
          <w:rFonts w:ascii="Arial" w:hAnsi="Arial" w:cs="Arial"/>
          <w:sz w:val="20"/>
          <w:szCs w:val="20"/>
          <w:lang w:val="en-US"/>
        </w:rPr>
        <w:t>FOSSEN, T, I. Handbook of Marine Craft Hydrodynamics and Motion Control, Wiley, 2011.</w:t>
      </w:r>
    </w:p>
    <w:p w14:paraId="35599011" w14:textId="77777777" w:rsidR="00F87532" w:rsidRDefault="00F87532" w:rsidP="00F8753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87532"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 w:rsidRPr="00F87532">
        <w:rPr>
          <w:rFonts w:ascii="Arial" w:hAnsi="Arial" w:cs="Arial"/>
          <w:sz w:val="20"/>
          <w:szCs w:val="20"/>
          <w:lang w:val="en-US"/>
        </w:rPr>
        <w:t xml:space="preserve">YOUNESY, </w:t>
      </w:r>
      <w:r w:rsidRPr="00F87532">
        <w:rPr>
          <w:rFonts w:ascii="Arial" w:hAnsi="Arial" w:cs="Arial"/>
          <w:b/>
          <w:bCs/>
          <w:sz w:val="20"/>
          <w:szCs w:val="20"/>
          <w:lang w:val="en-US"/>
        </w:rPr>
        <w:t xml:space="preserve">Hamid. Unity-Technologies / ROS-TCP-Connector </w:t>
      </w:r>
      <w:proofErr w:type="spellStart"/>
      <w:r w:rsidRPr="00F87532">
        <w:rPr>
          <w:rFonts w:ascii="Arial" w:eastAsia="Arial" w:hAnsi="Arial" w:cs="Arial"/>
          <w:sz w:val="20"/>
          <w:szCs w:val="20"/>
          <w:lang w:val="en-US"/>
        </w:rPr>
        <w:t>Disponível</w:t>
      </w:r>
      <w:proofErr w:type="spellEnd"/>
      <w:r w:rsidRPr="00F87532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Pr="00F87532">
        <w:rPr>
          <w:rFonts w:ascii="Arial" w:eastAsia="Arial" w:hAnsi="Arial" w:cs="Arial"/>
          <w:sz w:val="20"/>
          <w:szCs w:val="20"/>
          <w:lang w:val="en-US"/>
        </w:rPr>
        <w:t>em</w:t>
      </w:r>
      <w:proofErr w:type="spellEnd"/>
      <w:r w:rsidRPr="00F87532">
        <w:rPr>
          <w:rFonts w:ascii="Arial" w:eastAsia="Arial" w:hAnsi="Arial" w:cs="Arial"/>
          <w:sz w:val="20"/>
          <w:szCs w:val="20"/>
          <w:lang w:val="en-US"/>
        </w:rPr>
        <w:t xml:space="preserve">: https://github.com/Unity-Technologies/ROS-TCP-Connector. </w:t>
      </w:r>
      <w:r>
        <w:rPr>
          <w:rFonts w:ascii="Arial" w:eastAsia="Arial" w:hAnsi="Arial" w:cs="Arial"/>
          <w:sz w:val="20"/>
          <w:szCs w:val="20"/>
        </w:rPr>
        <w:t>Acesso em 08/04/2023.</w:t>
      </w:r>
    </w:p>
    <w:p w14:paraId="47F8B03F" w14:textId="77777777" w:rsidR="00F87532" w:rsidRDefault="00F87532" w:rsidP="00F87532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DYNAMIC WATER PHYSICS.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Dynamic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Water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Physics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Documentation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Disponível em: http://dynamicwaterphysics.com/doku.php. Acesso em: 08/04/2023.</w:t>
      </w:r>
    </w:p>
    <w:p w14:paraId="61E51411" w14:textId="77777777" w:rsidR="00E06086" w:rsidRDefault="00E06086">
      <w:pPr>
        <w:rPr>
          <w:rFonts w:ascii="Arial" w:eastAsia="Arial" w:hAnsi="Arial" w:cs="Arial"/>
          <w:sz w:val="20"/>
          <w:szCs w:val="20"/>
        </w:rPr>
      </w:pPr>
    </w:p>
    <w:p w14:paraId="2C3FBEEC" w14:textId="77777777" w:rsidR="00E06086" w:rsidRDefault="00E06086"/>
    <w:p w14:paraId="248C290C" w14:textId="77777777" w:rsidR="00E06086" w:rsidRDefault="00E06086"/>
    <w:p w14:paraId="300F6583" w14:textId="77777777" w:rsidR="00E06086" w:rsidRDefault="00E06086"/>
    <w:p w14:paraId="59B61640" w14:textId="77777777" w:rsidR="00E06086" w:rsidRDefault="00E06086"/>
    <w:p w14:paraId="39806FEA" w14:textId="77777777" w:rsidR="00E06086" w:rsidRDefault="00E06086"/>
    <w:p w14:paraId="0F52359C" w14:textId="77777777" w:rsidR="00E06086" w:rsidRDefault="00E06086"/>
    <w:p w14:paraId="5FDF4DBA" w14:textId="77777777" w:rsidR="00E06086" w:rsidRDefault="00E06086"/>
    <w:p w14:paraId="14B5D148" w14:textId="77777777" w:rsidR="00E06086" w:rsidRDefault="00E06086"/>
    <w:p w14:paraId="1E2A8289" w14:textId="77777777" w:rsidR="00E06086" w:rsidRDefault="00E06086"/>
    <w:p w14:paraId="5FDE9144" w14:textId="77777777" w:rsidR="00E06086" w:rsidRDefault="00E06086"/>
    <w:p w14:paraId="7877D330" w14:textId="77777777" w:rsidR="00E06086" w:rsidRDefault="00E06086"/>
    <w:p w14:paraId="27EDD173" w14:textId="77777777" w:rsidR="00E06086" w:rsidRDefault="00E06086"/>
    <w:p w14:paraId="6988E9BD" w14:textId="77777777" w:rsidR="00E06086" w:rsidRDefault="00E06086"/>
    <w:p w14:paraId="447BE402" w14:textId="77777777" w:rsidR="00E06086" w:rsidRDefault="00E06086"/>
    <w:p w14:paraId="5FE6ED3A" w14:textId="77777777" w:rsidR="00E06086" w:rsidRDefault="00E06086"/>
    <w:p w14:paraId="3927B55E" w14:textId="77777777" w:rsidR="00E06086" w:rsidRDefault="00E06086"/>
    <w:sectPr w:rsidR="00E06086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E763" w14:textId="77777777" w:rsidR="00EE2D6A" w:rsidRDefault="00EE2D6A">
      <w:pPr>
        <w:spacing w:after="0" w:line="240" w:lineRule="auto"/>
      </w:pPr>
      <w:r>
        <w:separator/>
      </w:r>
    </w:p>
  </w:endnote>
  <w:endnote w:type="continuationSeparator" w:id="0">
    <w:p w14:paraId="24F6C5CD" w14:textId="77777777" w:rsidR="00EE2D6A" w:rsidRDefault="00EE2D6A">
      <w:pPr>
        <w:spacing w:after="0" w:line="240" w:lineRule="auto"/>
      </w:pPr>
      <w:r>
        <w:continuationSeparator/>
      </w:r>
    </w:p>
  </w:endnote>
  <w:endnote w:type="continuationNotice" w:id="1">
    <w:p w14:paraId="002EDCC1" w14:textId="77777777" w:rsidR="0043115B" w:rsidRDefault="00431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81F4" w14:textId="77777777" w:rsidR="00E06086" w:rsidRDefault="00CD6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1CA228C3" w14:textId="77777777" w:rsidR="00E06086" w:rsidRDefault="00E060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9D65" w14:textId="77777777" w:rsidR="00EE2D6A" w:rsidRDefault="00EE2D6A">
      <w:pPr>
        <w:spacing w:after="0" w:line="240" w:lineRule="auto"/>
      </w:pPr>
      <w:r>
        <w:separator/>
      </w:r>
    </w:p>
  </w:footnote>
  <w:footnote w:type="continuationSeparator" w:id="0">
    <w:p w14:paraId="3614DF0A" w14:textId="77777777" w:rsidR="00EE2D6A" w:rsidRDefault="00EE2D6A">
      <w:pPr>
        <w:spacing w:after="0" w:line="240" w:lineRule="auto"/>
      </w:pPr>
      <w:r>
        <w:continuationSeparator/>
      </w:r>
    </w:p>
  </w:footnote>
  <w:footnote w:type="continuationNotice" w:id="1">
    <w:p w14:paraId="5B030DD3" w14:textId="77777777" w:rsidR="0043115B" w:rsidRDefault="00431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038" w14:textId="77777777" w:rsidR="00E06086" w:rsidRDefault="00CD6C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5945DF" wp14:editId="62DA39D3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86"/>
    <w:rsid w:val="001D29B6"/>
    <w:rsid w:val="0023080F"/>
    <w:rsid w:val="0043115B"/>
    <w:rsid w:val="00826A93"/>
    <w:rsid w:val="00E06086"/>
    <w:rsid w:val="00EE2D6A"/>
    <w:rsid w:val="00F6367F"/>
    <w:rsid w:val="00F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33EE"/>
  <w15:docId w15:val="{91A27AA3-6D49-4FF3-B340-8D4B04E2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43115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Marins da Conceicao</dc:creator>
  <cp:lastModifiedBy>Matheus Anselmo da Silva</cp:lastModifiedBy>
  <cp:revision>2</cp:revision>
  <dcterms:created xsi:type="dcterms:W3CDTF">2023-05-09T05:15:00Z</dcterms:created>
  <dcterms:modified xsi:type="dcterms:W3CDTF">2023-05-09T05:15:00Z</dcterms:modified>
</cp:coreProperties>
</file>