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9B27C1" w:rsidRPr="000571E3" w:rsidRDefault="009B27C1" w:rsidP="009B27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highlight w:val="yellow"/>
          <w:lang w:val="pt-BR"/>
        </w:rPr>
      </w:pPr>
      <w:r w:rsidRPr="000571E3">
        <w:rPr>
          <w:rFonts w:ascii="Arial" w:hAnsi="Arial" w:cs="Arial"/>
          <w:b/>
          <w:color w:val="000000" w:themeColor="text1"/>
          <w:lang w:val="pt-BR"/>
        </w:rPr>
        <w:t>INDICADORES DE DESEMPENHO DA QUALIDADE DOS EXAMES DE RT-PCR PARA COVID-19 REALIZADOS NO LABORATÓRIO DE DIAGNÓSTICO MOLECULAR DO INSTITUTO SENAI DE INOVAÇÃO EM SISTEMAS AVANÇADOS EM SAÚDE DO SENAI CIMATEC</w:t>
      </w:r>
    </w:p>
    <w:p w:rsidR="009B27C1" w:rsidRDefault="009B27C1" w:rsidP="009B27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pt-BR" w:eastAsia="pt-BR"/>
        </w:rPr>
      </w:pPr>
    </w:p>
    <w:p w:rsidR="009B27C1" w:rsidRDefault="009B27C1" w:rsidP="009B27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pt-BR" w:eastAsia="pt-BR"/>
        </w:rPr>
      </w:pPr>
    </w:p>
    <w:p w:rsidR="009B27C1" w:rsidRPr="000571E3" w:rsidRDefault="009B27C1" w:rsidP="009B27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pt-BR" w:eastAsia="pt-BR"/>
        </w:rPr>
      </w:pPr>
      <w:proofErr w:type="spellStart"/>
      <w:r w:rsidRPr="000571E3">
        <w:rPr>
          <w:rFonts w:ascii="Arial" w:eastAsia="Times New Roman" w:hAnsi="Arial" w:cs="Arial"/>
          <w:b/>
          <w:bCs/>
          <w:lang w:val="pt-BR" w:eastAsia="pt-BR"/>
        </w:rPr>
        <w:t>Kaira</w:t>
      </w:r>
      <w:proofErr w:type="spellEnd"/>
      <w:r w:rsidRPr="000571E3">
        <w:rPr>
          <w:rFonts w:ascii="Arial" w:eastAsia="Times New Roman" w:hAnsi="Arial" w:cs="Arial"/>
          <w:b/>
          <w:bCs/>
          <w:lang w:val="pt-BR" w:eastAsia="pt-BR"/>
        </w:rPr>
        <w:t xml:space="preserve"> Oliveira Perdigão Gonçalves¹; </w:t>
      </w:r>
      <w:r w:rsidRPr="000571E3">
        <w:rPr>
          <w:rFonts w:ascii="Arial" w:eastAsia="Times New Roman" w:hAnsi="Arial" w:cs="Arial"/>
          <w:bCs/>
          <w:lang w:val="pt-BR" w:eastAsia="pt-BR"/>
        </w:rPr>
        <w:t>Alana Costa de Oliveira²; Carolina Carvalho² Vitória Torres Barbosa²; Afrânio Ferreira Evangelista², Bruna Aparecida Souza Machado².</w:t>
      </w:r>
    </w:p>
    <w:p w:rsidR="009B27C1" w:rsidRPr="000571E3" w:rsidRDefault="009B27C1" w:rsidP="009B27C1">
      <w:pPr>
        <w:spacing w:after="0" w:line="240" w:lineRule="auto"/>
        <w:textAlignment w:val="baseline"/>
        <w:rPr>
          <w:rFonts w:ascii="Arial" w:eastAsia="Times New Roman" w:hAnsi="Arial" w:cs="Arial"/>
          <w:bCs/>
          <w:lang w:val="pt-BR" w:eastAsia="pt-BR"/>
        </w:rPr>
      </w:pPr>
      <w:proofErr w:type="gramStart"/>
      <w:r>
        <w:rPr>
          <w:rFonts w:ascii="Arial" w:eastAsia="Times New Roman" w:hAnsi="Arial" w:cs="Arial"/>
          <w:bCs/>
          <w:lang w:val="pt-BR" w:eastAsia="pt-BR"/>
        </w:rPr>
        <w:t>¹B</w:t>
      </w:r>
      <w:r w:rsidRPr="000571E3">
        <w:rPr>
          <w:rFonts w:ascii="Arial" w:eastAsia="Times New Roman" w:hAnsi="Arial" w:cs="Arial"/>
          <w:bCs/>
          <w:lang w:val="pt-BR" w:eastAsia="pt-BR"/>
        </w:rPr>
        <w:t>olsista</w:t>
      </w:r>
      <w:proofErr w:type="gramEnd"/>
      <w:r w:rsidRPr="000571E3">
        <w:rPr>
          <w:rFonts w:ascii="Arial" w:eastAsia="Times New Roman" w:hAnsi="Arial" w:cs="Arial"/>
          <w:bCs/>
          <w:lang w:val="pt-BR" w:eastAsia="pt-BR"/>
        </w:rPr>
        <w:t xml:space="preserve"> Desenvolvimento Tecnológico e Industrial</w:t>
      </w:r>
      <w:r>
        <w:rPr>
          <w:rFonts w:ascii="Arial" w:eastAsia="Times New Roman" w:hAnsi="Arial" w:cs="Arial"/>
          <w:bCs/>
          <w:lang w:val="pt-BR" w:eastAsia="pt-BR"/>
        </w:rPr>
        <w:t xml:space="preserve"> </w:t>
      </w:r>
      <w:r w:rsidRPr="000571E3">
        <w:rPr>
          <w:rFonts w:ascii="Arial" w:eastAsia="Times New Roman" w:hAnsi="Arial" w:cs="Arial"/>
          <w:bCs/>
          <w:lang w:val="pt-BR" w:eastAsia="pt-BR"/>
        </w:rPr>
        <w:t>– DTI-B</w:t>
      </w:r>
      <w:r>
        <w:rPr>
          <w:rFonts w:ascii="Arial" w:eastAsia="Times New Roman" w:hAnsi="Arial" w:cs="Arial"/>
          <w:bCs/>
          <w:lang w:val="pt-BR" w:eastAsia="pt-BR"/>
        </w:rPr>
        <w:t xml:space="preserve">; </w:t>
      </w:r>
      <w:hyperlink r:id="rId9" w:history="1">
        <w:r w:rsidRPr="00C2081D">
          <w:rPr>
            <w:rStyle w:val="Hyperlink"/>
            <w:rFonts w:ascii="Arial" w:eastAsia="Times New Roman" w:hAnsi="Arial" w:cs="Arial"/>
            <w:bCs/>
            <w:lang w:val="pt-BR" w:eastAsia="pt-BR"/>
          </w:rPr>
          <w:t>kairaperdigao@fbter.org.br</w:t>
        </w:r>
      </w:hyperlink>
    </w:p>
    <w:p w:rsidR="009B27C1" w:rsidRDefault="009B27C1" w:rsidP="009B27C1">
      <w:pPr>
        <w:spacing w:after="0" w:line="240" w:lineRule="auto"/>
        <w:textAlignment w:val="baseline"/>
        <w:rPr>
          <w:rFonts w:ascii="Arial" w:eastAsia="Times New Roman" w:hAnsi="Arial" w:cs="Arial"/>
          <w:bCs/>
          <w:lang w:val="pt-BR" w:eastAsia="pt-BR"/>
        </w:rPr>
      </w:pPr>
      <w:proofErr w:type="gramStart"/>
      <w:r w:rsidRPr="000571E3">
        <w:rPr>
          <w:rFonts w:ascii="Arial" w:eastAsia="Times New Roman" w:hAnsi="Arial" w:cs="Arial"/>
          <w:bCs/>
          <w:lang w:val="pt-BR" w:eastAsia="pt-BR"/>
        </w:rPr>
        <w:t>²Centro</w:t>
      </w:r>
      <w:proofErr w:type="gramEnd"/>
      <w:r w:rsidRPr="000571E3">
        <w:rPr>
          <w:rFonts w:ascii="Arial" w:eastAsia="Times New Roman" w:hAnsi="Arial" w:cs="Arial"/>
          <w:bCs/>
          <w:lang w:val="pt-BR" w:eastAsia="pt-BR"/>
        </w:rPr>
        <w:t xml:space="preserve"> Universitário SENAI CIMATEC; </w:t>
      </w:r>
      <w:proofErr w:type="spellStart"/>
      <w:r w:rsidRPr="000571E3">
        <w:rPr>
          <w:rFonts w:ascii="Arial" w:eastAsia="Times New Roman" w:hAnsi="Arial" w:cs="Arial"/>
          <w:bCs/>
          <w:lang w:val="pt-BR" w:eastAsia="pt-BR"/>
        </w:rPr>
        <w:t>Salvador-BA</w:t>
      </w:r>
      <w:proofErr w:type="spellEnd"/>
      <w:r w:rsidRPr="000571E3">
        <w:rPr>
          <w:rFonts w:ascii="Arial" w:eastAsia="Times New Roman" w:hAnsi="Arial" w:cs="Arial"/>
          <w:bCs/>
          <w:lang w:val="pt-BR" w:eastAsia="pt-BR"/>
        </w:rPr>
        <w:t>;</w:t>
      </w:r>
      <w:r>
        <w:rPr>
          <w:rFonts w:ascii="Arial" w:eastAsia="Times New Roman" w:hAnsi="Arial" w:cs="Arial"/>
          <w:bCs/>
          <w:lang w:val="pt-BR" w:eastAsia="pt-BR"/>
        </w:rPr>
        <w:t xml:space="preserve"> </w:t>
      </w:r>
      <w:hyperlink r:id="rId10" w:history="1">
        <w:r w:rsidRPr="00C2081D">
          <w:rPr>
            <w:rStyle w:val="Hyperlink"/>
            <w:rFonts w:ascii="Arial" w:eastAsia="Times New Roman" w:hAnsi="Arial" w:cs="Arial"/>
            <w:bCs/>
            <w:lang w:val="pt-BR" w:eastAsia="pt-BR"/>
          </w:rPr>
          <w:t>brunam@fieb.org.br</w:t>
        </w:r>
      </w:hyperlink>
    </w:p>
    <w:p w:rsidR="009B27C1" w:rsidRDefault="009B27C1" w:rsidP="009B27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pt-BR" w:eastAsia="pt-BR"/>
        </w:rPr>
      </w:pPr>
    </w:p>
    <w:p w:rsidR="009B27C1" w:rsidRDefault="009B27C1" w:rsidP="009B27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pt-BR" w:eastAsia="pt-BR"/>
        </w:rPr>
      </w:pPr>
    </w:p>
    <w:p w:rsidR="009B27C1" w:rsidRPr="006B292A" w:rsidRDefault="009B27C1" w:rsidP="009B27C1">
      <w:pPr>
        <w:spacing w:after="0" w:line="240" w:lineRule="auto"/>
        <w:jc w:val="both"/>
        <w:textAlignment w:val="baseline"/>
        <w:rPr>
          <w:rStyle w:val="normaltextrun"/>
          <w:b/>
          <w:bCs/>
          <w:szCs w:val="20"/>
          <w:lang w:val="pt-BR"/>
        </w:rPr>
      </w:pPr>
      <w:r w:rsidRPr="006B292A">
        <w:rPr>
          <w:rStyle w:val="normaltextrun"/>
          <w:b/>
          <w:bCs/>
          <w:szCs w:val="20"/>
          <w:lang w:val="pt-BR"/>
        </w:rPr>
        <w:tab/>
      </w:r>
      <w:r w:rsidRPr="006B292A">
        <w:rPr>
          <w:rStyle w:val="normaltextrun"/>
          <w:b/>
          <w:bCs/>
          <w:szCs w:val="20"/>
          <w:lang w:val="pt-BR"/>
        </w:rPr>
        <w:tab/>
      </w:r>
    </w:p>
    <w:p w:rsidR="009B27C1" w:rsidRDefault="009B27C1" w:rsidP="009B27C1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9B27C1" w:rsidRPr="00D3013D" w:rsidRDefault="009B27C1" w:rsidP="009B27C1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5B7FBE">
        <w:rPr>
          <w:rFonts w:ascii="Arial" w:hAnsi="Arial" w:cs="Arial"/>
          <w:sz w:val="18"/>
          <w:lang w:val="pt-BR"/>
        </w:rPr>
        <w:t>A análise de desempenho d</w:t>
      </w:r>
      <w:r>
        <w:rPr>
          <w:rFonts w:ascii="Arial" w:hAnsi="Arial" w:cs="Arial"/>
          <w:sz w:val="18"/>
          <w:lang w:val="pt-BR"/>
        </w:rPr>
        <w:t>a</w:t>
      </w:r>
      <w:r w:rsidRPr="005B7FBE">
        <w:rPr>
          <w:rFonts w:ascii="Arial" w:hAnsi="Arial" w:cs="Arial"/>
          <w:sz w:val="18"/>
          <w:lang w:val="pt-BR"/>
        </w:rPr>
        <w:t xml:space="preserve"> qualidade dos testes moleculares é um importante indicador para avaliar a eficiência do processo de diagnóstico e tratamento de doenças. A coleta</w:t>
      </w:r>
      <w:r>
        <w:rPr>
          <w:rFonts w:ascii="Arial" w:hAnsi="Arial" w:cs="Arial"/>
          <w:sz w:val="18"/>
          <w:lang w:val="pt-BR"/>
        </w:rPr>
        <w:t xml:space="preserve"> e análise</w:t>
      </w:r>
      <w:r w:rsidRPr="005B7FBE">
        <w:rPr>
          <w:rFonts w:ascii="Arial" w:hAnsi="Arial" w:cs="Arial"/>
          <w:sz w:val="18"/>
          <w:lang w:val="pt-BR"/>
        </w:rPr>
        <w:t xml:space="preserve"> de dados </w:t>
      </w:r>
      <w:r>
        <w:rPr>
          <w:rFonts w:ascii="Arial" w:hAnsi="Arial" w:cs="Arial"/>
          <w:sz w:val="18"/>
          <w:lang w:val="pt-BR"/>
        </w:rPr>
        <w:t>a partir dos registros de processos</w:t>
      </w:r>
      <w:r w:rsidRPr="005B7FBE">
        <w:rPr>
          <w:rFonts w:ascii="Arial" w:hAnsi="Arial" w:cs="Arial"/>
          <w:sz w:val="18"/>
          <w:lang w:val="pt-BR"/>
        </w:rPr>
        <w:t xml:space="preserve"> do laboratório é uma metodologia comum para a obtençã</w:t>
      </w:r>
      <w:r>
        <w:rPr>
          <w:rFonts w:ascii="Arial" w:hAnsi="Arial" w:cs="Arial"/>
          <w:sz w:val="18"/>
          <w:lang w:val="pt-BR"/>
        </w:rPr>
        <w:t>o</w:t>
      </w:r>
      <w:r w:rsidRPr="005B7FBE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18"/>
          <w:lang w:val="pt-BR"/>
        </w:rPr>
        <w:t>de informações que garantem a qualidade dos exames laboratoriais</w:t>
      </w:r>
      <w:r w:rsidRPr="005B7FBE">
        <w:rPr>
          <w:rFonts w:ascii="Arial" w:hAnsi="Arial" w:cs="Arial"/>
          <w:sz w:val="18"/>
          <w:lang w:val="pt-BR"/>
        </w:rPr>
        <w:t>.</w:t>
      </w:r>
      <w:r>
        <w:rPr>
          <w:rFonts w:ascii="Arial" w:hAnsi="Arial" w:cs="Arial"/>
          <w:sz w:val="18"/>
          <w:lang w:val="pt-BR"/>
        </w:rPr>
        <w:t xml:space="preserve"> Com o objetivo de avaliar o desempenho dos testes de RT-PCR para COVID-19 realizados no </w:t>
      </w:r>
      <w:r w:rsidRPr="008E6CEC">
        <w:rPr>
          <w:rFonts w:ascii="Arial" w:hAnsi="Arial" w:cs="Arial"/>
          <w:sz w:val="18"/>
          <w:lang w:val="pt-BR"/>
        </w:rPr>
        <w:t>Laboratório de Diagnóstico Molecu</w:t>
      </w:r>
      <w:r>
        <w:rPr>
          <w:rFonts w:ascii="Arial" w:hAnsi="Arial" w:cs="Arial"/>
          <w:sz w:val="18"/>
          <w:lang w:val="pt-BR"/>
        </w:rPr>
        <w:t>lar do ISI-SAS do SENAI CIMATEC, f</w:t>
      </w:r>
      <w:r w:rsidRPr="008E6CEC">
        <w:rPr>
          <w:rFonts w:ascii="Arial" w:hAnsi="Arial" w:cs="Arial"/>
          <w:sz w:val="18"/>
          <w:lang w:val="pt-BR"/>
        </w:rPr>
        <w:t xml:space="preserve">oram </w:t>
      </w:r>
      <w:r>
        <w:rPr>
          <w:rFonts w:ascii="Arial" w:hAnsi="Arial" w:cs="Arial"/>
          <w:sz w:val="18"/>
          <w:lang w:val="pt-BR"/>
        </w:rPr>
        <w:t>avaliados parâmetros como</w:t>
      </w:r>
      <w:r w:rsidRPr="008E6CEC">
        <w:rPr>
          <w:rFonts w:ascii="Arial" w:hAnsi="Arial" w:cs="Arial"/>
          <w:sz w:val="18"/>
          <w:lang w:val="pt-BR"/>
        </w:rPr>
        <w:t xml:space="preserve"> tempo de processamento e liberação </w:t>
      </w:r>
      <w:r>
        <w:rPr>
          <w:rFonts w:ascii="Arial" w:hAnsi="Arial" w:cs="Arial"/>
          <w:sz w:val="18"/>
          <w:lang w:val="pt-BR"/>
        </w:rPr>
        <w:t>das</w:t>
      </w:r>
      <w:r w:rsidRPr="008E6CEC">
        <w:rPr>
          <w:rFonts w:ascii="Arial" w:hAnsi="Arial" w:cs="Arial"/>
          <w:sz w:val="18"/>
          <w:lang w:val="pt-BR"/>
        </w:rPr>
        <w:t xml:space="preserve"> amostras</w:t>
      </w:r>
      <w:r>
        <w:rPr>
          <w:rFonts w:ascii="Arial" w:hAnsi="Arial" w:cs="Arial"/>
          <w:sz w:val="18"/>
          <w:lang w:val="pt-BR"/>
        </w:rPr>
        <w:t xml:space="preserve"> processadas</w:t>
      </w:r>
      <w:r w:rsidRPr="008E6CEC">
        <w:rPr>
          <w:rFonts w:ascii="Arial" w:hAnsi="Arial" w:cs="Arial"/>
          <w:sz w:val="18"/>
          <w:lang w:val="pt-BR"/>
        </w:rPr>
        <w:t xml:space="preserve"> no período </w:t>
      </w:r>
      <w:r>
        <w:rPr>
          <w:rFonts w:ascii="Arial" w:hAnsi="Arial" w:cs="Arial"/>
          <w:sz w:val="18"/>
          <w:lang w:val="pt-BR"/>
        </w:rPr>
        <w:t>de</w:t>
      </w:r>
      <w:r w:rsidRPr="008E6CEC">
        <w:rPr>
          <w:rFonts w:ascii="Arial" w:hAnsi="Arial" w:cs="Arial"/>
          <w:sz w:val="18"/>
          <w:lang w:val="pt-BR"/>
        </w:rPr>
        <w:t xml:space="preserve"> </w:t>
      </w:r>
      <w:proofErr w:type="spellStart"/>
      <w:r>
        <w:rPr>
          <w:rFonts w:ascii="Arial" w:hAnsi="Arial" w:cs="Arial"/>
          <w:sz w:val="18"/>
          <w:lang w:val="pt-BR"/>
        </w:rPr>
        <w:t>jan</w:t>
      </w:r>
      <w:proofErr w:type="spellEnd"/>
      <w:r w:rsidRPr="008E6CEC">
        <w:rPr>
          <w:rFonts w:ascii="Arial" w:hAnsi="Arial" w:cs="Arial"/>
          <w:sz w:val="18"/>
          <w:lang w:val="pt-BR"/>
        </w:rPr>
        <w:t xml:space="preserve">/22 a </w:t>
      </w:r>
      <w:r>
        <w:rPr>
          <w:rFonts w:ascii="Arial" w:hAnsi="Arial" w:cs="Arial"/>
          <w:sz w:val="18"/>
          <w:lang w:val="pt-BR"/>
        </w:rPr>
        <w:t>mar/23. Nossos resultados demonstraram que 94% dos testes, foram liberados antes das 24 horas, período estipulado como tempo máximo de liberação, com uma média de liberação inferior a 6 horas, demonstrando que a avaliação desses indicadores demonstra a eficiência do desempenho analítico dos processos adotados na realização dos testes laboratoriais.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18"/>
          <w:lang w:val="pt-BR"/>
        </w:rPr>
        <w:t>Indicadores de desempenho laboratorial; Diagnóstico molecular; RT-PCR.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9B27C1" w:rsidRPr="006A0589" w:rsidRDefault="009B27C1" w:rsidP="009B27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0589">
        <w:rPr>
          <w:rFonts w:ascii="Arial" w:hAnsi="Arial" w:cs="Arial"/>
          <w:b/>
          <w:sz w:val="20"/>
          <w:lang w:val="pt-BR"/>
        </w:rPr>
        <w:t>INTRODUÇÃO</w:t>
      </w:r>
    </w:p>
    <w:p w:rsidR="009B27C1" w:rsidRPr="00136312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136312">
        <w:rPr>
          <w:rFonts w:ascii="Arial" w:hAnsi="Arial" w:cs="Arial"/>
          <w:sz w:val="20"/>
          <w:lang w:val="pt-BR"/>
        </w:rPr>
        <w:t>Os testes moleculares têm sido amplamente utilizados em diversas áreas da medicin</w:t>
      </w:r>
      <w:r>
        <w:rPr>
          <w:rFonts w:ascii="Arial" w:hAnsi="Arial" w:cs="Arial"/>
          <w:sz w:val="20"/>
          <w:lang w:val="pt-BR"/>
        </w:rPr>
        <w:t>a para o</w:t>
      </w:r>
      <w:r w:rsidRPr="00136312">
        <w:rPr>
          <w:rFonts w:ascii="Arial" w:hAnsi="Arial" w:cs="Arial"/>
          <w:sz w:val="20"/>
          <w:lang w:val="pt-BR"/>
        </w:rPr>
        <w:t xml:space="preserve"> diagnóstico, prognóstico e monitoramento de doenças. Com a crescente demanda por esses testes, torna-se cada vez mais importante garantir a qualidade e confiabilidade dos resultados gerados</w:t>
      </w:r>
      <w:r>
        <w:rPr>
          <w:rFonts w:ascii="Arial" w:hAnsi="Arial" w:cs="Arial"/>
          <w:sz w:val="20"/>
          <w:lang w:val="pt-BR"/>
        </w:rPr>
        <w:t>¹.</w:t>
      </w:r>
      <w:r w:rsidRPr="00136312">
        <w:rPr>
          <w:rFonts w:ascii="Arial" w:hAnsi="Arial" w:cs="Arial"/>
          <w:sz w:val="20"/>
          <w:lang w:val="pt-BR"/>
        </w:rPr>
        <w:t xml:space="preserve"> Nesse sentido, os indicadores de desempenho de qualidade dos testes moleculares têm se mostrado ferramentas eficazes para avaliar e monitorar a precisão e a validade dos testes.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136312">
        <w:rPr>
          <w:rFonts w:ascii="Arial" w:hAnsi="Arial" w:cs="Arial"/>
          <w:sz w:val="20"/>
          <w:lang w:val="pt-BR"/>
        </w:rPr>
        <w:t xml:space="preserve">De acordo com </w:t>
      </w:r>
      <w:proofErr w:type="spellStart"/>
      <w:r w:rsidRPr="00136312">
        <w:rPr>
          <w:rFonts w:ascii="Arial" w:hAnsi="Arial" w:cs="Arial"/>
          <w:sz w:val="20"/>
          <w:lang w:val="pt-BR"/>
        </w:rPr>
        <w:t>Bruns</w:t>
      </w:r>
      <w:proofErr w:type="spellEnd"/>
      <w:r w:rsidRPr="00136312">
        <w:rPr>
          <w:rFonts w:ascii="Arial" w:hAnsi="Arial" w:cs="Arial"/>
          <w:sz w:val="20"/>
          <w:lang w:val="pt-BR"/>
        </w:rPr>
        <w:t>, D. E</w:t>
      </w:r>
      <w:proofErr w:type="gramStart"/>
      <w:r w:rsidRPr="00136312">
        <w:rPr>
          <w:rFonts w:ascii="Arial" w:hAnsi="Arial" w:cs="Arial"/>
          <w:sz w:val="20"/>
          <w:lang w:val="pt-BR"/>
        </w:rPr>
        <w:t>.,</w:t>
      </w:r>
      <w:proofErr w:type="gramEnd"/>
      <w:r w:rsidRPr="00136312">
        <w:rPr>
          <w:rFonts w:ascii="Arial" w:hAnsi="Arial" w:cs="Arial"/>
          <w:sz w:val="20"/>
          <w:lang w:val="pt-BR"/>
        </w:rPr>
        <w:t xml:space="preserve"> &amp; </w:t>
      </w:r>
      <w:proofErr w:type="spellStart"/>
      <w:r w:rsidRPr="00136312">
        <w:rPr>
          <w:rFonts w:ascii="Arial" w:hAnsi="Arial" w:cs="Arial"/>
          <w:sz w:val="20"/>
          <w:lang w:val="pt-BR"/>
        </w:rPr>
        <w:t>Burtis</w:t>
      </w:r>
      <w:proofErr w:type="spellEnd"/>
      <w:r w:rsidRPr="00136312">
        <w:rPr>
          <w:rFonts w:ascii="Arial" w:hAnsi="Arial" w:cs="Arial"/>
          <w:sz w:val="20"/>
          <w:lang w:val="pt-BR"/>
        </w:rPr>
        <w:t>, C. A. (2014), os indicadores de desempenho de qualidade dos testes moleculares podem ser divididos em três categorias: (1) indicadores de precisão analítica, que avaliam a capacidade do teste de medir com precisão a quantidade de material genético ou proteína em uma amostra; (2) indicadores de validade clínica, que avaliam a capacidade do teste de detectar ou excluir corretamente a presença de uma doença ou condição clínica; e (3) indicadores de eficiência, que avaliam a eficiência dos processos de laboratório, como o tempo de resposta e a utilização de recursos</w:t>
      </w:r>
      <w:r>
        <w:rPr>
          <w:rFonts w:ascii="Arial" w:hAnsi="Arial" w:cs="Arial"/>
          <w:sz w:val="20"/>
          <w:lang w:val="pt-BR"/>
        </w:rPr>
        <w:t>¹</w:t>
      </w:r>
      <w:r w:rsidRPr="00136312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sz w:val="20"/>
          <w:lang w:val="pt-BR"/>
        </w:rPr>
        <w:t xml:space="preserve"> </w:t>
      </w:r>
      <w:r w:rsidRPr="00136312">
        <w:rPr>
          <w:rFonts w:ascii="Arial" w:hAnsi="Arial" w:cs="Arial"/>
          <w:sz w:val="20"/>
          <w:lang w:val="pt-BR"/>
        </w:rPr>
        <w:t xml:space="preserve">É importante destacar que esses indicadores devem ser escolhidos e aplicados de acordo com as características do teste molecular e do contexto clínico em que ele será utilizado. Além disso, é fundamental que os laboratórios de análises clínicas sigam as normas e diretrizes estabelecidas pelos órgãos regulatórios, como a Agência Nacional de Vigilância Sanitária (ANVISA) e o </w:t>
      </w:r>
      <w:proofErr w:type="spellStart"/>
      <w:r w:rsidRPr="00F1690D">
        <w:rPr>
          <w:rFonts w:ascii="Arial" w:hAnsi="Arial" w:cs="Arial"/>
          <w:i/>
          <w:iCs/>
          <w:sz w:val="20"/>
          <w:lang w:val="pt-BR"/>
        </w:rPr>
        <w:t>Clinical</w:t>
      </w:r>
      <w:proofErr w:type="spellEnd"/>
      <w:r w:rsidRPr="00F1690D">
        <w:rPr>
          <w:rFonts w:ascii="Arial" w:hAnsi="Arial" w:cs="Arial"/>
          <w:i/>
          <w:iCs/>
          <w:sz w:val="20"/>
          <w:lang w:val="pt-BR"/>
        </w:rPr>
        <w:t xml:space="preserve"> </w:t>
      </w:r>
      <w:proofErr w:type="spellStart"/>
      <w:r w:rsidRPr="00F1690D">
        <w:rPr>
          <w:rFonts w:ascii="Arial" w:hAnsi="Arial" w:cs="Arial"/>
          <w:i/>
          <w:iCs/>
          <w:sz w:val="20"/>
          <w:lang w:val="pt-BR"/>
        </w:rPr>
        <w:t>and</w:t>
      </w:r>
      <w:proofErr w:type="spellEnd"/>
      <w:r w:rsidRPr="00F1690D">
        <w:rPr>
          <w:rFonts w:ascii="Arial" w:hAnsi="Arial" w:cs="Arial"/>
          <w:i/>
          <w:iCs/>
          <w:sz w:val="20"/>
          <w:lang w:val="pt-BR"/>
        </w:rPr>
        <w:t xml:space="preserve"> </w:t>
      </w:r>
      <w:proofErr w:type="spellStart"/>
      <w:r w:rsidRPr="00F1690D">
        <w:rPr>
          <w:rFonts w:ascii="Arial" w:hAnsi="Arial" w:cs="Arial"/>
          <w:i/>
          <w:iCs/>
          <w:sz w:val="20"/>
          <w:lang w:val="pt-BR"/>
        </w:rPr>
        <w:t>Laboratory</w:t>
      </w:r>
      <w:proofErr w:type="spellEnd"/>
      <w:r w:rsidRPr="00F1690D">
        <w:rPr>
          <w:rFonts w:ascii="Arial" w:hAnsi="Arial" w:cs="Arial"/>
          <w:i/>
          <w:iCs/>
          <w:sz w:val="20"/>
          <w:lang w:val="pt-BR"/>
        </w:rPr>
        <w:t xml:space="preserve"> Standards </w:t>
      </w:r>
      <w:proofErr w:type="spellStart"/>
      <w:r w:rsidRPr="00F1690D">
        <w:rPr>
          <w:rFonts w:ascii="Arial" w:hAnsi="Arial" w:cs="Arial"/>
          <w:i/>
          <w:iCs/>
          <w:sz w:val="20"/>
          <w:lang w:val="pt-BR"/>
        </w:rPr>
        <w:t>Institute</w:t>
      </w:r>
      <w:proofErr w:type="spellEnd"/>
      <w:r w:rsidRPr="00136312">
        <w:rPr>
          <w:rFonts w:ascii="Arial" w:hAnsi="Arial" w:cs="Arial"/>
          <w:sz w:val="20"/>
          <w:lang w:val="pt-BR"/>
        </w:rPr>
        <w:t xml:space="preserve"> (CLSI).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136312">
        <w:rPr>
          <w:rFonts w:ascii="Arial" w:hAnsi="Arial" w:cs="Arial"/>
          <w:sz w:val="20"/>
          <w:lang w:val="pt-BR"/>
        </w:rPr>
        <w:t>A rapidez e a eficiência na realização dos testes moleculares são fatores críticos para um diagnóstico preciso e tratamento efetivo de diversas doenças. Nesse contexto, os indicadores de desempenho de qualidade relacionados ao tempo de coleta até o laudo têm sido cada vez mais utilizados para monitorar e avaliar a eficiência dos processos de laboratório.</w:t>
      </w:r>
      <w:r>
        <w:rPr>
          <w:rFonts w:ascii="Arial" w:hAnsi="Arial" w:cs="Arial"/>
          <w:sz w:val="20"/>
          <w:lang w:val="pt-BR"/>
        </w:rPr>
        <w:t xml:space="preserve"> </w:t>
      </w:r>
      <w:r w:rsidRPr="00136312">
        <w:rPr>
          <w:rFonts w:ascii="Arial" w:hAnsi="Arial" w:cs="Arial"/>
          <w:sz w:val="20"/>
          <w:lang w:val="pt-BR"/>
        </w:rPr>
        <w:t>De acordo com a literatura, o tempo total de resposta, que engloba desde a coleta da amostra até a liberação do laudo final, é um dos indicadores mais importantes para a avaliação da eficiência dos testes moleculares. Além disso, outros indicadores de desempenho relacionados ao tempo incluem o tempo de processamento da amostra, o tempo de análise e interpretação dos resultados e o tempo de entrega do laudo</w:t>
      </w:r>
      <w:r>
        <w:rPr>
          <w:rFonts w:ascii="Arial" w:hAnsi="Arial" w:cs="Arial"/>
          <w:sz w:val="20"/>
          <w:lang w:val="pt-BR"/>
        </w:rPr>
        <w:t xml:space="preserve">². </w:t>
      </w:r>
      <w:r w:rsidRPr="00136312">
        <w:rPr>
          <w:rFonts w:ascii="Arial" w:hAnsi="Arial" w:cs="Arial"/>
          <w:sz w:val="20"/>
          <w:lang w:val="pt-BR"/>
        </w:rPr>
        <w:t>A redução do tempo total de resposta dos testes moleculares pode trazer benefícios significativos para a saúde pública, como a redução da disseminação de doenças infecciosas</w:t>
      </w:r>
      <w:r>
        <w:rPr>
          <w:rFonts w:ascii="Arial" w:hAnsi="Arial" w:cs="Arial"/>
          <w:sz w:val="20"/>
          <w:lang w:val="pt-BR"/>
        </w:rPr>
        <w:t xml:space="preserve"> como a COVID-19</w:t>
      </w:r>
      <w:r w:rsidRPr="00136312">
        <w:rPr>
          <w:rFonts w:ascii="Arial" w:hAnsi="Arial" w:cs="Arial"/>
          <w:sz w:val="20"/>
          <w:lang w:val="pt-BR"/>
        </w:rPr>
        <w:t xml:space="preserve"> e o início mais rápido do tratamento em casos de doenças crônicas. No entanto, é importante que essa redução seja alcançada sem comprometer a qualidade dos resultados e a segurança do paciente.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 o</w:t>
      </w:r>
      <w:r w:rsidRPr="00136312">
        <w:rPr>
          <w:rFonts w:ascii="Arial" w:hAnsi="Arial" w:cs="Arial"/>
          <w:sz w:val="20"/>
          <w:lang w:val="pt-BR"/>
        </w:rPr>
        <w:t xml:space="preserve">bjetivo </w:t>
      </w:r>
      <w:r>
        <w:rPr>
          <w:rFonts w:ascii="Arial" w:hAnsi="Arial" w:cs="Arial"/>
          <w:sz w:val="20"/>
          <w:lang w:val="pt-BR"/>
        </w:rPr>
        <w:t>desse trabalho foi</w:t>
      </w:r>
      <w:r w:rsidRPr="00136312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avaliar os indicadores de</w:t>
      </w:r>
      <w:r w:rsidRPr="00136312">
        <w:rPr>
          <w:rFonts w:ascii="Arial" w:hAnsi="Arial" w:cs="Arial"/>
          <w:sz w:val="20"/>
          <w:lang w:val="pt-BR"/>
        </w:rPr>
        <w:t xml:space="preserve"> eficiência dos processos envolvidos na realização d</w:t>
      </w:r>
      <w:r>
        <w:rPr>
          <w:rFonts w:ascii="Arial" w:hAnsi="Arial" w:cs="Arial"/>
          <w:sz w:val="20"/>
          <w:lang w:val="pt-BR"/>
        </w:rPr>
        <w:t>os testes de RT_PCR para a detecção do SARS-CoV-2 realizados no Laboratório de Diagnóstico Molecular do ISI-SAS do SENAI CIMATEC (LDM, ISI-SAS, SENAI CIMATEC)</w:t>
      </w:r>
      <w:r w:rsidRPr="00136312">
        <w:rPr>
          <w:rFonts w:ascii="Arial" w:hAnsi="Arial" w:cs="Arial"/>
          <w:sz w:val="20"/>
          <w:lang w:val="pt-BR"/>
        </w:rPr>
        <w:t xml:space="preserve">. Esses </w:t>
      </w:r>
      <w:r>
        <w:rPr>
          <w:rFonts w:ascii="Arial" w:hAnsi="Arial" w:cs="Arial"/>
          <w:sz w:val="20"/>
          <w:lang w:val="pt-BR"/>
        </w:rPr>
        <w:lastRenderedPageBreak/>
        <w:t>parâmetros</w:t>
      </w:r>
      <w:r w:rsidRPr="00136312">
        <w:rPr>
          <w:rFonts w:ascii="Arial" w:hAnsi="Arial" w:cs="Arial"/>
          <w:sz w:val="20"/>
          <w:lang w:val="pt-BR"/>
        </w:rPr>
        <w:t xml:space="preserve"> permitem avaliar a rapidez</w:t>
      </w:r>
      <w:r>
        <w:rPr>
          <w:rFonts w:ascii="Arial" w:hAnsi="Arial" w:cs="Arial"/>
          <w:sz w:val="20"/>
          <w:lang w:val="pt-BR"/>
        </w:rPr>
        <w:t>, desempenho do processo</w:t>
      </w:r>
      <w:r w:rsidRPr="00136312">
        <w:rPr>
          <w:rFonts w:ascii="Arial" w:hAnsi="Arial" w:cs="Arial"/>
          <w:sz w:val="20"/>
          <w:lang w:val="pt-BR"/>
        </w:rPr>
        <w:t xml:space="preserve"> e a qualidade dos resultados, além de identificar possíveis pontos críticos no processo de </w:t>
      </w:r>
      <w:r>
        <w:rPr>
          <w:rFonts w:ascii="Arial" w:hAnsi="Arial" w:cs="Arial"/>
          <w:sz w:val="20"/>
          <w:lang w:val="pt-BR"/>
        </w:rPr>
        <w:t>execução</w:t>
      </w:r>
      <w:r w:rsidRPr="00136312">
        <w:rPr>
          <w:rFonts w:ascii="Arial" w:hAnsi="Arial" w:cs="Arial"/>
          <w:sz w:val="20"/>
          <w:lang w:val="pt-BR"/>
        </w:rPr>
        <w:t xml:space="preserve"> dos testes. </w:t>
      </w:r>
      <w:r>
        <w:rPr>
          <w:rFonts w:ascii="Arial" w:hAnsi="Arial" w:cs="Arial"/>
          <w:sz w:val="20"/>
          <w:lang w:val="pt-BR"/>
        </w:rPr>
        <w:t>Desta forma, com</w:t>
      </w:r>
      <w:r w:rsidRPr="00136312">
        <w:rPr>
          <w:rFonts w:ascii="Arial" w:hAnsi="Arial" w:cs="Arial"/>
          <w:sz w:val="20"/>
          <w:lang w:val="pt-BR"/>
        </w:rPr>
        <w:t xml:space="preserve"> base nesses dados, é possível tomar medidas para melhorar a eficiência e a qualidade dos testes moleculares, garantindo um diagnóstico preciso e um tratamento efetivo para diversas doenças.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Para realização deste trabalho, foi realizada uma análise retrospectiva dos dados referentes ao tempo compreendido entre a coleta, processamento e liberação dos resultados dos exames de RT-PCR dos participantes do </w:t>
      </w:r>
      <w:r w:rsidRPr="009D1C35">
        <w:rPr>
          <w:rFonts w:ascii="Arial" w:hAnsi="Arial" w:cs="Arial"/>
          <w:sz w:val="20"/>
          <w:lang w:val="pt-BR"/>
        </w:rPr>
        <w:t xml:space="preserve">Estudo de fase </w:t>
      </w:r>
      <w:proofErr w:type="gramStart"/>
      <w:r w:rsidRPr="009D1C35">
        <w:rPr>
          <w:rFonts w:ascii="Arial" w:hAnsi="Arial" w:cs="Arial"/>
          <w:sz w:val="20"/>
          <w:lang w:val="pt-BR"/>
        </w:rPr>
        <w:t>1</w:t>
      </w:r>
      <w:proofErr w:type="gramEnd"/>
      <w:r w:rsidRPr="009D1C35">
        <w:rPr>
          <w:rFonts w:ascii="Arial" w:hAnsi="Arial" w:cs="Arial"/>
          <w:sz w:val="20"/>
          <w:lang w:val="pt-BR"/>
        </w:rPr>
        <w:t xml:space="preserve"> para avaliar a segurança, </w:t>
      </w:r>
      <w:proofErr w:type="spellStart"/>
      <w:r w:rsidRPr="009D1C35">
        <w:rPr>
          <w:rFonts w:ascii="Arial" w:hAnsi="Arial" w:cs="Arial"/>
          <w:sz w:val="20"/>
          <w:lang w:val="pt-BR"/>
        </w:rPr>
        <w:t>reatogenicidade</w:t>
      </w:r>
      <w:proofErr w:type="spellEnd"/>
      <w:r w:rsidRPr="009D1C35">
        <w:rPr>
          <w:rFonts w:ascii="Arial" w:hAnsi="Arial" w:cs="Arial"/>
          <w:sz w:val="20"/>
          <w:lang w:val="pt-BR"/>
        </w:rPr>
        <w:t xml:space="preserve"> e </w:t>
      </w:r>
      <w:proofErr w:type="spellStart"/>
      <w:r w:rsidRPr="009D1C35">
        <w:rPr>
          <w:rFonts w:ascii="Arial" w:hAnsi="Arial" w:cs="Arial"/>
          <w:sz w:val="20"/>
          <w:lang w:val="pt-BR"/>
        </w:rPr>
        <w:t>imunogenicidade</w:t>
      </w:r>
      <w:proofErr w:type="spellEnd"/>
      <w:r w:rsidRPr="009D1C35">
        <w:rPr>
          <w:rFonts w:ascii="Arial" w:hAnsi="Arial" w:cs="Arial"/>
          <w:sz w:val="20"/>
          <w:lang w:val="pt-BR"/>
        </w:rPr>
        <w:t xml:space="preserve"> da Vacina RNA MCTI CIMATEC HDT contra SARS-CoV-2</w:t>
      </w:r>
      <w:r>
        <w:rPr>
          <w:rFonts w:ascii="Arial" w:hAnsi="Arial" w:cs="Arial"/>
          <w:sz w:val="20"/>
          <w:lang w:val="pt-BR"/>
        </w:rPr>
        <w:t xml:space="preserve">. No total, </w:t>
      </w:r>
      <w:proofErr w:type="gramStart"/>
      <w:r>
        <w:rPr>
          <w:rFonts w:ascii="Arial" w:hAnsi="Arial" w:cs="Arial"/>
          <w:sz w:val="20"/>
          <w:lang w:val="pt-BR"/>
        </w:rPr>
        <w:t>foram</w:t>
      </w:r>
      <w:proofErr w:type="gramEnd"/>
      <w:r>
        <w:rPr>
          <w:rFonts w:ascii="Arial" w:hAnsi="Arial" w:cs="Arial"/>
          <w:sz w:val="20"/>
          <w:lang w:val="pt-BR"/>
        </w:rPr>
        <w:t xml:space="preserve"> avaliados o tempo de processamento e liberação </w:t>
      </w:r>
      <w:r w:rsidRPr="002D2F1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2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00</w:t>
      </w:r>
      <w:r w:rsidRPr="002D2F1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amostras, no período entre 11/01/2022 a 29/03/2023</w:t>
      </w:r>
      <w:r>
        <w:rPr>
          <w:rFonts w:ascii="Arial" w:hAnsi="Arial" w:cs="Arial"/>
          <w:sz w:val="20"/>
          <w:lang w:val="pt-BR"/>
        </w:rPr>
        <w:t xml:space="preserve">. Todos os dados foram coletados a partir do banco de dados do Laboratório de Diagnóstico Molecular do ISI-SAS do SENAI CIMATEC e os resultados foram expressos em tabelas e gráficos utilizando o </w:t>
      </w:r>
      <w:r w:rsidRPr="00736BDF">
        <w:rPr>
          <w:rFonts w:ascii="Arial" w:hAnsi="Arial" w:cs="Arial"/>
          <w:i/>
          <w:iCs/>
          <w:sz w:val="20"/>
          <w:lang w:val="pt-BR"/>
        </w:rPr>
        <w:t xml:space="preserve">software Microsoft </w:t>
      </w:r>
      <w:proofErr w:type="gramStart"/>
      <w:r w:rsidRPr="00736BDF">
        <w:rPr>
          <w:rFonts w:ascii="Arial" w:hAnsi="Arial" w:cs="Arial"/>
          <w:i/>
          <w:iCs/>
          <w:sz w:val="20"/>
          <w:lang w:val="pt-BR"/>
        </w:rPr>
        <w:t>office</w:t>
      </w:r>
      <w:proofErr w:type="gramEnd"/>
      <w:r w:rsidRPr="00736BDF">
        <w:rPr>
          <w:rFonts w:ascii="Arial" w:hAnsi="Arial" w:cs="Arial"/>
          <w:i/>
          <w:iCs/>
          <w:sz w:val="20"/>
          <w:lang w:val="pt-BR"/>
        </w:rPr>
        <w:t xml:space="preserve"> </w:t>
      </w:r>
      <w:proofErr w:type="spellStart"/>
      <w:r w:rsidRPr="00736BDF">
        <w:rPr>
          <w:rFonts w:ascii="Arial" w:hAnsi="Arial" w:cs="Arial"/>
          <w:i/>
          <w:iCs/>
          <w:sz w:val="20"/>
          <w:lang w:val="pt-BR"/>
        </w:rPr>
        <w:t>excel</w:t>
      </w:r>
      <w:proofErr w:type="spellEnd"/>
      <w:r>
        <w:rPr>
          <w:rFonts w:ascii="Arial" w:hAnsi="Arial" w:cs="Arial"/>
          <w:sz w:val="20"/>
          <w:lang w:val="pt-BR"/>
        </w:rPr>
        <w:t>.</w:t>
      </w:r>
    </w:p>
    <w:p w:rsidR="009B27C1" w:rsidRPr="00330650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:rsidR="009B27C1" w:rsidRPr="00CF7BA5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CF7BA5">
        <w:rPr>
          <w:rFonts w:ascii="Arial" w:hAnsi="Arial" w:cs="Arial"/>
          <w:sz w:val="20"/>
          <w:lang w:val="pt-BR"/>
        </w:rPr>
        <w:t xml:space="preserve">O tempo para realização de um exame de RT-PCR para COVID-19 pode variar de acordo com diversos fatores, como a demanda do laboratório, a disponibilidade de kits </w:t>
      </w:r>
      <w:r>
        <w:rPr>
          <w:rFonts w:ascii="Arial" w:hAnsi="Arial" w:cs="Arial"/>
          <w:sz w:val="20"/>
          <w:lang w:val="pt-BR"/>
        </w:rPr>
        <w:t>para o</w:t>
      </w:r>
      <w:r w:rsidRPr="00CF7BA5">
        <w:rPr>
          <w:rFonts w:ascii="Arial" w:hAnsi="Arial" w:cs="Arial"/>
          <w:sz w:val="20"/>
          <w:lang w:val="pt-BR"/>
        </w:rPr>
        <w:t xml:space="preserve"> teste, o tempo de transporte das amostras e a capacidade de processamento do laboratório</w:t>
      </w:r>
      <w:r>
        <w:rPr>
          <w:rFonts w:ascii="Arial" w:hAnsi="Arial" w:cs="Arial"/>
          <w:sz w:val="20"/>
          <w:lang w:val="pt-BR"/>
        </w:rPr>
        <w:t xml:space="preserve">³. Para a boa condução do estudo clínico referido neste trabalho, é importante que os testes de RT-PCR, destinados </w:t>
      </w:r>
      <w:proofErr w:type="gramStart"/>
      <w:r>
        <w:rPr>
          <w:rFonts w:ascii="Arial" w:hAnsi="Arial" w:cs="Arial"/>
          <w:sz w:val="20"/>
          <w:lang w:val="pt-BR"/>
        </w:rPr>
        <w:t>a</w:t>
      </w:r>
      <w:proofErr w:type="gramEnd"/>
      <w:r>
        <w:rPr>
          <w:rFonts w:ascii="Arial" w:hAnsi="Arial" w:cs="Arial"/>
          <w:sz w:val="20"/>
          <w:lang w:val="pt-BR"/>
        </w:rPr>
        <w:t xml:space="preserve"> detecção do material genético do vírus do SARS-CoV-2, sejam coletados, processados e liberados em até 24 horas, salvo casos de coletas realizadas nos finais de semana</w:t>
      </w:r>
      <w:r w:rsidRPr="006740E5"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>⁴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>.</w:t>
      </w:r>
      <w:r>
        <w:rPr>
          <w:rFonts w:ascii="Arial" w:hAnsi="Arial" w:cs="Arial"/>
          <w:sz w:val="20"/>
          <w:lang w:val="pt-BR"/>
        </w:rPr>
        <w:t xml:space="preserve"> 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De acordo com recomendações da OMS (Organização Mundial da Saúde), o tempo médio para coleta da amostra e processamento é 24 horas e o tempo máximo não pode passar de 72 horas, excetuando os casos em que as amostras sejam armazenadas em equipamentos que garantam um congelamento </w:t>
      </w:r>
      <w:proofErr w:type="gramStart"/>
      <w:r>
        <w:rPr>
          <w:rFonts w:ascii="Arial" w:hAnsi="Arial" w:cs="Arial"/>
          <w:sz w:val="20"/>
          <w:lang w:val="pt-BR"/>
        </w:rPr>
        <w:t>da amostras</w:t>
      </w:r>
      <w:proofErr w:type="gramEnd"/>
      <w:r>
        <w:rPr>
          <w:rFonts w:ascii="Arial" w:hAnsi="Arial" w:cs="Arial"/>
          <w:sz w:val="20"/>
          <w:lang w:val="pt-BR"/>
        </w:rPr>
        <w:t xml:space="preserve"> a temperaturas menores ou igual a -80C</w:t>
      </w:r>
      <w:r w:rsidRPr="00B2649F">
        <w:rPr>
          <w:rFonts w:ascii="Arial" w:hAnsi="Arial" w:cs="Arial"/>
          <w:sz w:val="20"/>
          <w:lang w:val="pt-BR"/>
        </w:rPr>
        <w:t>⁴</w:t>
      </w:r>
      <w:r>
        <w:rPr>
          <w:rFonts w:ascii="Arial" w:hAnsi="Arial" w:cs="Arial"/>
          <w:sz w:val="20"/>
          <w:lang w:val="pt-BR"/>
        </w:rPr>
        <w:t xml:space="preserve">. Neste trabalho, de acordo com a análise do banco de dados do LDM, o tempo médio compreendido entre a coleta, processamento e liberação dos resultados foi de </w:t>
      </w:r>
      <w:r>
        <w:rPr>
          <w:rFonts w:ascii="Arial" w:hAnsi="Arial" w:cs="Arial"/>
          <w:sz w:val="20"/>
          <w:szCs w:val="20"/>
          <w:lang w:val="pt-BR"/>
        </w:rPr>
        <w:t>5,4 horas</w:t>
      </w:r>
      <w:r>
        <w:rPr>
          <w:rFonts w:ascii="Arial" w:hAnsi="Arial" w:cs="Arial"/>
          <w:sz w:val="20"/>
          <w:lang w:val="pt-BR"/>
        </w:rPr>
        <w:t>. Além disso, como demonstrado na figura 1, pudemos perceber que a partir de 6 horas, houve uma diminuição gradativa de exames liberados.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ind w:firstLine="851"/>
        <w:jc w:val="center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FB6F9FD" wp14:editId="19A12785">
            <wp:extent cx="4013200" cy="1707515"/>
            <wp:effectExtent l="0" t="0" r="6350" b="698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27C1" w:rsidRPr="004B1E3E" w:rsidRDefault="009B27C1" w:rsidP="009B27C1">
      <w:pPr>
        <w:spacing w:after="0" w:line="240" w:lineRule="auto"/>
        <w:ind w:firstLine="851"/>
        <w:rPr>
          <w:rFonts w:ascii="Arial" w:hAnsi="Arial" w:cs="Arial"/>
          <w:b/>
          <w:bCs/>
          <w:sz w:val="16"/>
          <w:szCs w:val="16"/>
          <w:lang w:val="pt-BR"/>
        </w:rPr>
      </w:pPr>
      <w:r w:rsidRPr="004B1E3E">
        <w:rPr>
          <w:rFonts w:ascii="Arial" w:hAnsi="Arial" w:cs="Arial"/>
          <w:b/>
          <w:bCs/>
          <w:sz w:val="16"/>
          <w:szCs w:val="16"/>
          <w:lang w:val="pt-BR"/>
        </w:rPr>
        <w:t xml:space="preserve">Figura 1: Quantidade de exames processados </w:t>
      </w:r>
      <w:r w:rsidRPr="004B1E3E">
        <w:rPr>
          <w:rFonts w:ascii="Arial" w:hAnsi="Arial" w:cs="Arial"/>
          <w:b/>
          <w:bCs/>
          <w:i/>
          <w:iCs/>
          <w:sz w:val="16"/>
          <w:szCs w:val="16"/>
          <w:lang w:val="pt-BR"/>
        </w:rPr>
        <w:t>versus</w:t>
      </w:r>
      <w:r w:rsidRPr="004B1E3E">
        <w:rPr>
          <w:rFonts w:ascii="Arial" w:hAnsi="Arial" w:cs="Arial"/>
          <w:b/>
          <w:bCs/>
          <w:sz w:val="16"/>
          <w:szCs w:val="16"/>
          <w:lang w:val="pt-BR"/>
        </w:rPr>
        <w:t xml:space="preserve"> o tempo de liberação dos resultados.</w:t>
      </w:r>
    </w:p>
    <w:p w:rsidR="009B27C1" w:rsidRDefault="009B27C1" w:rsidP="009B27C1">
      <w:pPr>
        <w:spacing w:after="0" w:line="240" w:lineRule="auto"/>
        <w:ind w:firstLine="851"/>
        <w:jc w:val="center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Em relação </w:t>
      </w:r>
      <w:proofErr w:type="gramStart"/>
      <w:r>
        <w:rPr>
          <w:rFonts w:ascii="Arial" w:hAnsi="Arial" w:cs="Arial"/>
          <w:sz w:val="20"/>
          <w:lang w:val="pt-BR"/>
        </w:rPr>
        <w:t>a</w:t>
      </w:r>
      <w:proofErr w:type="gramEnd"/>
      <w:r>
        <w:rPr>
          <w:rFonts w:ascii="Arial" w:hAnsi="Arial" w:cs="Arial"/>
          <w:sz w:val="20"/>
          <w:lang w:val="pt-BR"/>
        </w:rPr>
        <w:t xml:space="preserve"> taxa de exames liberados no período recomendado, a figura 2 mostra que 94% das amostras foram liberadas antes do prazo preconizado, demonstrando que os processos estabelecidos dentro do laboratório possuem um bom desempenho analítico.</w:t>
      </w:r>
      <w:r w:rsidRPr="009D1C35">
        <w:rPr>
          <w:rFonts w:ascii="Arial" w:hAnsi="Arial" w:cs="Arial"/>
          <w:sz w:val="20"/>
          <w:szCs w:val="20"/>
          <w:lang w:val="pt-BR"/>
        </w:rPr>
        <w:t xml:space="preserve"> </w:t>
      </w:r>
      <w:r w:rsidRPr="002D2F1E">
        <w:rPr>
          <w:rFonts w:ascii="Arial" w:hAnsi="Arial" w:cs="Arial"/>
          <w:sz w:val="20"/>
          <w:szCs w:val="20"/>
          <w:lang w:val="pt-BR"/>
        </w:rPr>
        <w:t>Algumas complicações podem acontecer durante todo processo,</w:t>
      </w:r>
      <w:r w:rsidRPr="001B71A5">
        <w:rPr>
          <w:rFonts w:ascii="Arial" w:hAnsi="Arial" w:cs="Arial"/>
          <w:sz w:val="20"/>
          <w:szCs w:val="20"/>
          <w:lang w:val="pt-BR"/>
        </w:rPr>
        <w:t xml:space="preserve"> como o tempo de chegada da amostra p</w:t>
      </w:r>
      <w:r w:rsidRPr="002D2F1E">
        <w:rPr>
          <w:rFonts w:ascii="Arial" w:hAnsi="Arial" w:cs="Arial"/>
          <w:sz w:val="20"/>
          <w:szCs w:val="20"/>
          <w:lang w:val="pt-BR"/>
        </w:rPr>
        <w:t>erto do final do horário de expediente, sendo processado no outro dia. P</w:t>
      </w:r>
      <w:r w:rsidRPr="001B71A5">
        <w:rPr>
          <w:rFonts w:ascii="Arial" w:hAnsi="Arial" w:cs="Arial"/>
          <w:sz w:val="20"/>
          <w:szCs w:val="20"/>
          <w:lang w:val="pt-BR"/>
        </w:rPr>
        <w:t>or esta razão, 11 laudos foram emitidos de forma mais tardia, mas não atravessam o prazo de 24 horas.</w:t>
      </w:r>
    </w:p>
    <w:p w:rsidR="009B27C1" w:rsidRDefault="009B27C1" w:rsidP="009B27C1">
      <w:pPr>
        <w:spacing w:after="0" w:line="240" w:lineRule="auto"/>
        <w:ind w:firstLine="851"/>
        <w:jc w:val="both"/>
        <w:rPr>
          <w:noProof/>
          <w:lang w:val="pt-BR" w:eastAsia="pt-BR"/>
        </w:rPr>
      </w:pPr>
      <w:r>
        <w:rPr>
          <w:rFonts w:ascii="Arial" w:hAnsi="Arial" w:cs="Arial"/>
          <w:sz w:val="20"/>
          <w:lang w:val="pt-BR"/>
        </w:rPr>
        <w:t xml:space="preserve"> </w:t>
      </w:r>
    </w:p>
    <w:p w:rsidR="009B27C1" w:rsidRDefault="009B27C1" w:rsidP="009B27C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F6A02" wp14:editId="5822B5D4">
                <wp:simplePos x="0" y="0"/>
                <wp:positionH relativeFrom="column">
                  <wp:posOffset>889635</wp:posOffset>
                </wp:positionH>
                <wp:positionV relativeFrom="paragraph">
                  <wp:posOffset>9525</wp:posOffset>
                </wp:positionV>
                <wp:extent cx="3631565" cy="379095"/>
                <wp:effectExtent l="0" t="0" r="0" b="0"/>
                <wp:wrapNone/>
                <wp:docPr id="3" name="CaixaDe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3790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B27C1" w:rsidRPr="000571E3" w:rsidRDefault="009B27C1" w:rsidP="009B27C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Percentual de tempo dos exames processados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2" o:spid="_x0000_s1026" type="#_x0000_t202" style="position:absolute;left:0;text-align:left;margin-left:70.05pt;margin-top:.75pt;width:285.9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" filled="f" stroked="f">
                <v:textbox>
                  <w:txbxContent>
                    <w:p w:rsidR="009B27C1" w:rsidRPr="000571E3" w:rsidRDefault="009B27C1" w:rsidP="009B27C1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Percentual de tempo dos exames processados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46A65D75" wp14:editId="775C2A5E">
            <wp:extent cx="4470400" cy="2181860"/>
            <wp:effectExtent l="0" t="0" r="6350" b="889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27C1" w:rsidRPr="00CC6701" w:rsidRDefault="009B27C1" w:rsidP="009B27C1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CC6701">
        <w:rPr>
          <w:rFonts w:ascii="Arial" w:hAnsi="Arial" w:cs="Arial"/>
          <w:b/>
          <w:sz w:val="16"/>
          <w:szCs w:val="16"/>
          <w:lang w:val="pt-BR"/>
        </w:rPr>
        <w:t xml:space="preserve">Figura 2: Porcentual de tempo relacionado </w:t>
      </w:r>
      <w:proofErr w:type="gramStart"/>
      <w:r w:rsidRPr="00CC6701">
        <w:rPr>
          <w:rFonts w:ascii="Arial" w:hAnsi="Arial" w:cs="Arial"/>
          <w:b/>
          <w:sz w:val="16"/>
          <w:szCs w:val="16"/>
          <w:lang w:val="pt-BR"/>
        </w:rPr>
        <w:t>a</w:t>
      </w:r>
      <w:proofErr w:type="gramEnd"/>
      <w:r w:rsidRPr="00CC6701">
        <w:rPr>
          <w:rFonts w:ascii="Arial" w:hAnsi="Arial" w:cs="Arial"/>
          <w:b/>
          <w:sz w:val="16"/>
          <w:szCs w:val="16"/>
          <w:lang w:val="pt-BR"/>
        </w:rPr>
        <w:t xml:space="preserve"> conclusão dos testes.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9B27C1" w:rsidRPr="00330650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</w:p>
    <w:p w:rsidR="009B27C1" w:rsidRPr="008D6526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8D6526">
        <w:rPr>
          <w:rFonts w:ascii="Arial" w:hAnsi="Arial" w:cs="Arial"/>
          <w:sz w:val="20"/>
          <w:lang w:val="pt-BR"/>
        </w:rPr>
        <w:t xml:space="preserve">Considerando que </w:t>
      </w:r>
      <w:r>
        <w:rPr>
          <w:rFonts w:ascii="Arial" w:hAnsi="Arial" w:cs="Arial"/>
          <w:sz w:val="20"/>
          <w:lang w:val="pt-BR"/>
        </w:rPr>
        <w:t>94% dos</w:t>
      </w:r>
      <w:r w:rsidRPr="008D6526">
        <w:rPr>
          <w:rFonts w:ascii="Arial" w:hAnsi="Arial" w:cs="Arial"/>
          <w:sz w:val="20"/>
          <w:lang w:val="pt-BR"/>
        </w:rPr>
        <w:t xml:space="preserve"> testes moleculares </w:t>
      </w:r>
      <w:r>
        <w:rPr>
          <w:rFonts w:ascii="Arial" w:hAnsi="Arial" w:cs="Arial"/>
          <w:sz w:val="20"/>
          <w:lang w:val="pt-BR"/>
        </w:rPr>
        <w:t>foram</w:t>
      </w:r>
      <w:r w:rsidRPr="008D6526">
        <w:rPr>
          <w:rFonts w:ascii="Arial" w:hAnsi="Arial" w:cs="Arial"/>
          <w:sz w:val="20"/>
          <w:lang w:val="pt-BR"/>
        </w:rPr>
        <w:t xml:space="preserve"> realizados dentro do prazo de entrega, sem atrasos</w:t>
      </w:r>
      <w:r>
        <w:rPr>
          <w:rFonts w:ascii="Arial" w:hAnsi="Arial" w:cs="Arial"/>
          <w:sz w:val="20"/>
          <w:lang w:val="pt-BR"/>
        </w:rPr>
        <w:t xml:space="preserve"> e apenas 6% foram liberados de forma tardia, mas dentro do prazo de entrega estimado pelo laboratório LDM do ISI-SAIS,</w:t>
      </w:r>
      <w:r w:rsidRPr="008D6526">
        <w:rPr>
          <w:rFonts w:ascii="Arial" w:hAnsi="Arial" w:cs="Arial"/>
          <w:sz w:val="20"/>
          <w:lang w:val="pt-BR"/>
        </w:rPr>
        <w:t xml:space="preserve"> é possível afirmar que o desempenho de qualidade </w:t>
      </w:r>
      <w:r>
        <w:rPr>
          <w:rFonts w:ascii="Arial" w:hAnsi="Arial" w:cs="Arial"/>
          <w:sz w:val="20"/>
          <w:lang w:val="pt-BR"/>
        </w:rPr>
        <w:t>foi</w:t>
      </w:r>
      <w:r w:rsidRPr="008D6526">
        <w:rPr>
          <w:rFonts w:ascii="Arial" w:hAnsi="Arial" w:cs="Arial"/>
          <w:sz w:val="20"/>
          <w:lang w:val="pt-BR"/>
        </w:rPr>
        <w:t xml:space="preserve"> satisfatório. No entanto, é importante ressaltar que a realização de testes moleculares requer a adoção de medidas de controle de qualidade rigorosas para garantir a precisão e a confiabilidade dos resultados.</w:t>
      </w:r>
    </w:p>
    <w:p w:rsidR="009B27C1" w:rsidRPr="008D6526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8D6526">
        <w:rPr>
          <w:rFonts w:ascii="Arial" w:hAnsi="Arial" w:cs="Arial"/>
          <w:sz w:val="20"/>
          <w:lang w:val="pt-BR"/>
        </w:rPr>
        <w:t xml:space="preserve">Dessa forma, é fundamental que os laboratórios adotem indicadores de desempenho de qualidade que possam ser monitorados de forma contínua, como o tempo de coleta até </w:t>
      </w:r>
      <w:r>
        <w:rPr>
          <w:rFonts w:ascii="Arial" w:hAnsi="Arial" w:cs="Arial"/>
          <w:sz w:val="20"/>
          <w:lang w:val="pt-BR"/>
        </w:rPr>
        <w:t>a liberação do resultado, além da garantia da</w:t>
      </w:r>
      <w:r w:rsidRPr="008D6526">
        <w:rPr>
          <w:rFonts w:ascii="Arial" w:hAnsi="Arial" w:cs="Arial"/>
          <w:sz w:val="20"/>
          <w:lang w:val="pt-BR"/>
        </w:rPr>
        <w:t xml:space="preserve"> sensibilidade e a especificidade do teste permiti</w:t>
      </w:r>
      <w:r>
        <w:rPr>
          <w:rFonts w:ascii="Arial" w:hAnsi="Arial" w:cs="Arial"/>
          <w:sz w:val="20"/>
          <w:lang w:val="pt-BR"/>
        </w:rPr>
        <w:t>ndo</w:t>
      </w:r>
      <w:r w:rsidRPr="008D6526">
        <w:rPr>
          <w:rFonts w:ascii="Arial" w:hAnsi="Arial" w:cs="Arial"/>
          <w:sz w:val="20"/>
          <w:lang w:val="pt-BR"/>
        </w:rPr>
        <w:t xml:space="preserve"> a identificação precoce de eventuais problemas no processo de realização dos testes e a adoção de medidas para corrigi-los.</w:t>
      </w:r>
    </w:p>
    <w:p w:rsidR="009B27C1" w:rsidRDefault="009B27C1" w:rsidP="009B27C1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8D6526">
        <w:rPr>
          <w:rFonts w:ascii="Arial" w:hAnsi="Arial" w:cs="Arial"/>
          <w:sz w:val="20"/>
          <w:lang w:val="pt-BR"/>
        </w:rPr>
        <w:t>Além disso, é importante que os laboratórios estejam preparados para lidar com variações na demanda por testes. Nesse sentido, é fundamental garantir a disponibilidade de equipamentos e insumos necessários para a realização dos testes, bem como a capacidade de processamento suficiente para atender à demanda.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9B27C1" w:rsidRPr="00330650" w:rsidRDefault="009B27C1" w:rsidP="009B27C1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Pr="00330650">
        <w:rPr>
          <w:rFonts w:ascii="Arial" w:hAnsi="Arial" w:cs="Arial"/>
          <w:b/>
          <w:sz w:val="20"/>
          <w:lang w:val="pt-BR"/>
        </w:rPr>
        <w:t>REFERÊNCIAS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proofErr w:type="gramEnd"/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6A0589">
        <w:rPr>
          <w:rFonts w:ascii="Arial" w:hAnsi="Arial" w:cs="Arial"/>
          <w:sz w:val="20"/>
          <w:lang w:val="pt-BR"/>
        </w:rPr>
        <w:t xml:space="preserve">BRUNS, D. E.; BURTIS, C. A. </w:t>
      </w:r>
      <w:r w:rsidRPr="006A0589">
        <w:rPr>
          <w:rFonts w:ascii="Arial" w:hAnsi="Arial" w:cs="Arial"/>
          <w:b/>
          <w:sz w:val="20"/>
          <w:lang w:val="pt-BR"/>
        </w:rPr>
        <w:t>Controle de qualidade e garantia da qualidade</w:t>
      </w:r>
      <w:r w:rsidRPr="006A0589">
        <w:rPr>
          <w:rFonts w:ascii="Arial" w:hAnsi="Arial" w:cs="Arial"/>
          <w:sz w:val="20"/>
          <w:lang w:val="pt-BR"/>
        </w:rPr>
        <w:t xml:space="preserve">. </w:t>
      </w:r>
      <w:r w:rsidRPr="003511F1">
        <w:rPr>
          <w:rFonts w:ascii="Arial" w:hAnsi="Arial" w:cs="Arial"/>
          <w:sz w:val="20"/>
        </w:rPr>
        <w:t xml:space="preserve">In: CARL A. BURTIS; DAVID E. BRUNS; EDWARD R. ASHBURN. </w:t>
      </w:r>
      <w:r w:rsidRPr="006A0589">
        <w:rPr>
          <w:rFonts w:ascii="Arial" w:hAnsi="Arial" w:cs="Arial"/>
          <w:sz w:val="20"/>
          <w:lang w:val="pt-BR"/>
        </w:rPr>
        <w:t xml:space="preserve">Fundamentos de Química Clínica e Diagnóstico Molecular de </w:t>
      </w:r>
      <w:proofErr w:type="spellStart"/>
      <w:r w:rsidRPr="006A0589">
        <w:rPr>
          <w:rFonts w:ascii="Arial" w:hAnsi="Arial" w:cs="Arial"/>
          <w:sz w:val="20"/>
          <w:lang w:val="pt-BR"/>
        </w:rPr>
        <w:t>Tietz</w:t>
      </w:r>
      <w:proofErr w:type="spellEnd"/>
      <w:r w:rsidRPr="006A0589">
        <w:rPr>
          <w:rFonts w:ascii="Arial" w:hAnsi="Arial" w:cs="Arial"/>
          <w:sz w:val="20"/>
          <w:lang w:val="pt-BR"/>
        </w:rPr>
        <w:t xml:space="preserve">. 7. </w:t>
      </w:r>
      <w:proofErr w:type="gramStart"/>
      <w:r w:rsidRPr="006A0589">
        <w:rPr>
          <w:rFonts w:ascii="Arial" w:hAnsi="Arial" w:cs="Arial"/>
          <w:sz w:val="20"/>
          <w:lang w:val="pt-BR"/>
        </w:rPr>
        <w:t>ed.</w:t>
      </w:r>
      <w:proofErr w:type="gramEnd"/>
      <w:r w:rsidRPr="006A0589">
        <w:rPr>
          <w:rFonts w:ascii="Arial" w:hAnsi="Arial" w:cs="Arial"/>
          <w:sz w:val="20"/>
          <w:lang w:val="pt-BR"/>
        </w:rPr>
        <w:t xml:space="preserve"> Rio de Janeiro: </w:t>
      </w:r>
      <w:proofErr w:type="spellStart"/>
      <w:r w:rsidRPr="006A0589">
        <w:rPr>
          <w:rFonts w:ascii="Arial" w:hAnsi="Arial" w:cs="Arial"/>
          <w:sz w:val="20"/>
          <w:lang w:val="pt-BR"/>
        </w:rPr>
        <w:t>Elsevier</w:t>
      </w:r>
      <w:proofErr w:type="spellEnd"/>
      <w:r w:rsidRPr="006A0589">
        <w:rPr>
          <w:rFonts w:ascii="Arial" w:hAnsi="Arial" w:cs="Arial"/>
          <w:sz w:val="20"/>
          <w:lang w:val="pt-BR"/>
        </w:rPr>
        <w:t xml:space="preserve">, 2014. </w:t>
      </w:r>
      <w:proofErr w:type="gramStart"/>
      <w:r w:rsidRPr="006A0589">
        <w:rPr>
          <w:rFonts w:ascii="Arial" w:hAnsi="Arial" w:cs="Arial"/>
          <w:sz w:val="20"/>
          <w:lang w:val="pt-BR"/>
        </w:rPr>
        <w:t>p.</w:t>
      </w:r>
      <w:proofErr w:type="gramEnd"/>
      <w:r w:rsidRPr="006A0589">
        <w:rPr>
          <w:rFonts w:ascii="Arial" w:hAnsi="Arial" w:cs="Arial"/>
          <w:sz w:val="20"/>
          <w:lang w:val="pt-BR"/>
        </w:rPr>
        <w:t xml:space="preserve"> 79-99. </w:t>
      </w:r>
    </w:p>
    <w:p w:rsidR="009B27C1" w:rsidRPr="00330650" w:rsidRDefault="009B27C1" w:rsidP="009B27C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vertAlign w:val="superscript"/>
          <w:lang w:val="pt-BR"/>
        </w:rPr>
        <w:t>2</w:t>
      </w:r>
      <w:proofErr w:type="gramEnd"/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6A0589">
        <w:rPr>
          <w:rFonts w:ascii="Arial" w:hAnsi="Arial" w:cs="Arial"/>
          <w:sz w:val="20"/>
          <w:lang w:val="pt-BR"/>
        </w:rPr>
        <w:t xml:space="preserve">VAN KESSEL, R.; VERWIJMEREN, L.; JANSSENS, R. </w:t>
      </w:r>
      <w:r w:rsidRPr="00451868">
        <w:rPr>
          <w:rFonts w:ascii="Arial" w:hAnsi="Arial" w:cs="Arial"/>
          <w:b/>
          <w:sz w:val="20"/>
          <w:lang w:val="pt-BR"/>
        </w:rPr>
        <w:t>Testes diagnósticos moleculares: a hora dos indicadores de qualidade é agora</w:t>
      </w:r>
      <w:r w:rsidRPr="006A0589">
        <w:rPr>
          <w:rFonts w:ascii="Arial" w:hAnsi="Arial" w:cs="Arial"/>
          <w:sz w:val="20"/>
          <w:lang w:val="pt-BR"/>
        </w:rPr>
        <w:t xml:space="preserve">. Clinica </w:t>
      </w:r>
      <w:proofErr w:type="spellStart"/>
      <w:r w:rsidRPr="006A0589">
        <w:rPr>
          <w:rFonts w:ascii="Arial" w:hAnsi="Arial" w:cs="Arial"/>
          <w:sz w:val="20"/>
          <w:lang w:val="pt-BR"/>
        </w:rPr>
        <w:t>Chimica</w:t>
      </w:r>
      <w:proofErr w:type="spellEnd"/>
      <w:r w:rsidRPr="006A0589">
        <w:rPr>
          <w:rFonts w:ascii="Arial" w:hAnsi="Arial" w:cs="Arial"/>
          <w:sz w:val="20"/>
          <w:lang w:val="pt-BR"/>
        </w:rPr>
        <w:t xml:space="preserve"> Acta, v. 499, p. 40-45, 2019. Disponível em: </w:t>
      </w:r>
      <w:proofErr w:type="gramStart"/>
      <w:r w:rsidRPr="006A0589">
        <w:rPr>
          <w:rFonts w:ascii="Arial" w:hAnsi="Arial" w:cs="Arial"/>
          <w:sz w:val="20"/>
          <w:lang w:val="pt-BR"/>
        </w:rPr>
        <w:t>https</w:t>
      </w:r>
      <w:proofErr w:type="gramEnd"/>
      <w:r w:rsidRPr="006A0589">
        <w:rPr>
          <w:rFonts w:ascii="Arial" w:hAnsi="Arial" w:cs="Arial"/>
          <w:sz w:val="20"/>
          <w:lang w:val="pt-BR"/>
        </w:rPr>
        <w:t xml:space="preserve">://doi.org/10.1016/j.cca.2019.08.002. </w:t>
      </w:r>
    </w:p>
    <w:p w:rsidR="009B27C1" w:rsidRDefault="009B27C1" w:rsidP="009B27C1">
      <w:pPr>
        <w:spacing w:after="0" w:line="240" w:lineRule="auto"/>
        <w:jc w:val="both"/>
        <w:rPr>
          <w:rFonts w:ascii="Arial" w:hAnsi="Arial" w:cs="Arial"/>
          <w:sz w:val="20"/>
          <w:vertAlign w:val="superscript"/>
          <w:lang w:val="pt-BR"/>
        </w:rPr>
      </w:pPr>
      <w:proofErr w:type="gramStart"/>
      <w:r w:rsidRPr="003511F1">
        <w:rPr>
          <w:rFonts w:ascii="Arial" w:hAnsi="Arial" w:cs="Arial"/>
          <w:sz w:val="20"/>
          <w:vertAlign w:val="superscript"/>
        </w:rPr>
        <w:t>3</w:t>
      </w:r>
      <w:r w:rsidRPr="003511F1">
        <w:rPr>
          <w:rFonts w:ascii="Arial" w:hAnsi="Arial" w:cs="Arial"/>
          <w:sz w:val="20"/>
        </w:rPr>
        <w:t xml:space="preserve"> CDC (Centers for Disease Control and Prevention).</w:t>
      </w:r>
      <w:proofErr w:type="gramEnd"/>
      <w:r w:rsidRPr="003511F1">
        <w:rPr>
          <w:rFonts w:ascii="Arial" w:hAnsi="Arial" w:cs="Arial"/>
          <w:b/>
          <w:sz w:val="20"/>
        </w:rPr>
        <w:t xml:space="preserve"> </w:t>
      </w:r>
      <w:r w:rsidRPr="00451868">
        <w:rPr>
          <w:rFonts w:ascii="Arial" w:hAnsi="Arial" w:cs="Arial"/>
          <w:b/>
          <w:sz w:val="20"/>
          <w:lang w:val="pt-BR"/>
        </w:rPr>
        <w:t>Diretrizes Interinas para Coleta, Manipulação e Teste de Espécimes Clínicos para COVID-19.</w:t>
      </w:r>
      <w:r w:rsidRPr="006A0589">
        <w:rPr>
          <w:rFonts w:ascii="Arial" w:hAnsi="Arial" w:cs="Arial"/>
          <w:sz w:val="20"/>
          <w:lang w:val="pt-BR"/>
        </w:rPr>
        <w:t xml:space="preserve"> Disponível em: </w:t>
      </w:r>
      <w:hyperlink r:id="rId13" w:history="1">
        <w:r w:rsidRPr="000F6233">
          <w:rPr>
            <w:rStyle w:val="Hyperlink"/>
            <w:rFonts w:ascii="Arial" w:hAnsi="Arial" w:cs="Arial"/>
            <w:sz w:val="20"/>
            <w:lang w:val="pt-BR"/>
          </w:rPr>
          <w:t>https://www.cdc.gov/coronavirus/2019-ncov/lab/guidelines-clinical-specimens.html</w:t>
        </w:r>
      </w:hyperlink>
    </w:p>
    <w:p w:rsidR="009B27C1" w:rsidRPr="00451868" w:rsidRDefault="009B27C1" w:rsidP="009B27C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3511F1"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 xml:space="preserve">⁴ </w:t>
      </w:r>
      <w:r w:rsidRPr="00451868">
        <w:rPr>
          <w:rFonts w:ascii="Arial" w:hAnsi="Arial" w:cs="Arial"/>
          <w:color w:val="000000" w:themeColor="text1"/>
          <w:sz w:val="20"/>
          <w:lang w:val="pt-BR"/>
        </w:rPr>
        <w:t xml:space="preserve">OMS (Organização Mundial da Saúde). </w:t>
      </w:r>
      <w:r w:rsidRPr="00451868">
        <w:rPr>
          <w:rFonts w:ascii="Arial" w:hAnsi="Arial" w:cs="Arial"/>
          <w:b/>
          <w:color w:val="000000" w:themeColor="text1"/>
          <w:sz w:val="20"/>
          <w:lang w:val="pt-BR"/>
        </w:rPr>
        <w:t xml:space="preserve">Testes de laboratório para doença pelo </w:t>
      </w:r>
      <w:proofErr w:type="spellStart"/>
      <w:r w:rsidRPr="00451868">
        <w:rPr>
          <w:rFonts w:ascii="Arial" w:hAnsi="Arial" w:cs="Arial"/>
          <w:b/>
          <w:color w:val="000000" w:themeColor="text1"/>
          <w:sz w:val="20"/>
          <w:lang w:val="pt-BR"/>
        </w:rPr>
        <w:t>coronavírus</w:t>
      </w:r>
      <w:proofErr w:type="spellEnd"/>
      <w:r w:rsidRPr="00451868">
        <w:rPr>
          <w:rFonts w:ascii="Arial" w:hAnsi="Arial" w:cs="Arial"/>
          <w:b/>
          <w:color w:val="000000" w:themeColor="text1"/>
          <w:sz w:val="20"/>
          <w:lang w:val="pt-BR"/>
        </w:rPr>
        <w:t xml:space="preserve"> 2019 (COVID-19) em casos humanos suspeitos</w:t>
      </w:r>
      <w:r w:rsidRPr="00451868">
        <w:rPr>
          <w:rFonts w:ascii="Arial" w:hAnsi="Arial" w:cs="Arial"/>
          <w:color w:val="000000" w:themeColor="text1"/>
          <w:sz w:val="20"/>
          <w:lang w:val="pt-BR"/>
        </w:rPr>
        <w:t xml:space="preserve">. Disponível em: </w:t>
      </w:r>
      <w:proofErr w:type="gramStart"/>
      <w:r w:rsidRPr="00451868">
        <w:rPr>
          <w:rFonts w:ascii="Arial" w:hAnsi="Arial" w:cs="Arial"/>
          <w:color w:val="000000" w:themeColor="text1"/>
          <w:sz w:val="20"/>
          <w:lang w:val="pt-BR"/>
        </w:rPr>
        <w:t>https</w:t>
      </w:r>
      <w:proofErr w:type="gramEnd"/>
      <w:r w:rsidRPr="00451868">
        <w:rPr>
          <w:rFonts w:ascii="Arial" w:hAnsi="Arial" w:cs="Arial"/>
          <w:color w:val="000000" w:themeColor="text1"/>
          <w:sz w:val="20"/>
          <w:lang w:val="pt-BR"/>
        </w:rPr>
        <w:t>://www.who.int/publications-detail-redirect/WHO-COVID-19-laboratory-2020.4.</w:t>
      </w: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3511F1" w:rsidRDefault="009B27C1" w:rsidP="009B27C1">
      <w:pPr>
        <w:rPr>
          <w:lang w:val="pt-BR"/>
        </w:rPr>
      </w:pPr>
    </w:p>
    <w:p w:rsidR="009B27C1" w:rsidRPr="006B292A" w:rsidRDefault="009B27C1" w:rsidP="009B27C1">
      <w:pPr>
        <w:rPr>
          <w:lang w:val="pt-BR"/>
        </w:rPr>
      </w:pPr>
    </w:p>
    <w:p w:rsidR="00562687" w:rsidRDefault="00562687" w:rsidP="009B27C1">
      <w:pPr>
        <w:spacing w:after="0" w:line="240" w:lineRule="auto"/>
        <w:jc w:val="center"/>
      </w:pPr>
      <w:bookmarkStart w:id="0" w:name="_GoBack"/>
      <w:bookmarkEnd w:id="0"/>
    </w:p>
    <w:sectPr w:rsidR="00562687" w:rsidSect="00D55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58" w:rsidRDefault="00E17758" w:rsidP="00B424DE">
      <w:pPr>
        <w:spacing w:after="0" w:line="240" w:lineRule="auto"/>
      </w:pPr>
      <w:r>
        <w:separator/>
      </w:r>
    </w:p>
  </w:endnote>
  <w:endnote w:type="continuationSeparator" w:id="0">
    <w:p w:rsidR="00E17758" w:rsidRDefault="00E17758" w:rsidP="00B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A8" w:rsidRDefault="00106AA8">
    <w:pPr>
      <w:pStyle w:val="Rodap"/>
    </w:pPr>
    <w:r>
      <w:t xml:space="preserve">ISSN </w:t>
    </w:r>
    <w:r w:rsidRPr="00106AA8">
      <w:t>0805-2010</w:t>
    </w:r>
    <w:r>
      <w:t xml:space="preserve"> </w:t>
    </w:r>
    <w:r w:rsidR="00D55F5E">
      <w:t xml:space="preserve">– </w:t>
    </w:r>
    <w:r w:rsidR="00D55F5E" w:rsidRPr="00D55F5E">
      <w:rPr>
        <w:i/>
      </w:rPr>
      <w:t xml:space="preserve">Anuário de </w:t>
    </w:r>
    <w:r w:rsidR="00D55F5E">
      <w:rPr>
        <w:i/>
      </w:rPr>
      <w:t>resumos expandidos</w:t>
    </w:r>
    <w:r w:rsidR="00D55F5E" w:rsidRPr="00D55F5E">
      <w:rPr>
        <w:i/>
      </w:rPr>
      <w:t xml:space="preserve"> apresentados no VII SAPCT</w:t>
    </w:r>
    <w:r w:rsidR="00D55F5E">
      <w:rPr>
        <w:i/>
      </w:rPr>
      <w:t xml:space="preserve"> - SENAI CIMATEC</w:t>
    </w:r>
    <w:r w:rsidR="00D55F5E">
      <w:t xml:space="preserve">, </w:t>
    </w:r>
    <w:r w:rsidR="00D55F5E" w:rsidRPr="00D55F5E">
      <w:rPr>
        <w:b/>
      </w:rPr>
      <w:t>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58" w:rsidRDefault="00E17758" w:rsidP="00B424DE">
      <w:pPr>
        <w:spacing w:after="0" w:line="240" w:lineRule="auto"/>
      </w:pPr>
      <w:r>
        <w:separator/>
      </w:r>
    </w:p>
  </w:footnote>
  <w:footnote w:type="continuationSeparator" w:id="0">
    <w:p w:rsidR="00E17758" w:rsidRDefault="00E17758" w:rsidP="00B4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DE" w:rsidRPr="00106AA8" w:rsidRDefault="00D55F5E" w:rsidP="00106AA8">
    <w:pPr>
      <w:pStyle w:val="Cabealho"/>
      <w:tabs>
        <w:tab w:val="clear" w:pos="8504"/>
        <w:tab w:val="right" w:pos="9638"/>
      </w:tabs>
      <w:jc w:val="right"/>
      <w:rPr>
        <w:rFonts w:ascii="Berlin Sans FB Demi" w:hAnsi="Berlin Sans FB Demi"/>
        <w:b/>
        <w:i/>
        <w:color w:val="FFFFFF" w:themeColor="background1"/>
        <w:sz w:val="32"/>
      </w:rPr>
    </w:pPr>
    <w:r w:rsidRPr="00106AA8">
      <w:rPr>
        <w:noProof/>
        <w:color w:val="FFFFFF" w:themeColor="background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-90170</wp:posOffset>
          </wp:positionV>
          <wp:extent cx="7570470" cy="1082040"/>
          <wp:effectExtent l="0" t="0" r="0" b="381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65"/>
                  <a:stretch/>
                </pic:blipFill>
                <pic:spPr bwMode="auto">
                  <a:xfrm>
                    <a:off x="0" y="0"/>
                    <a:ext cx="757047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AA8" w:rsidRPr="00106AA8">
      <w:rPr>
        <w:noProof/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77B"/>
    <w:multiLevelType w:val="hybridMultilevel"/>
    <w:tmpl w:val="2E2CC9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E"/>
    <w:rsid w:val="00106AA8"/>
    <w:rsid w:val="0013589B"/>
    <w:rsid w:val="001D6074"/>
    <w:rsid w:val="003A4F0B"/>
    <w:rsid w:val="00431F20"/>
    <w:rsid w:val="00432716"/>
    <w:rsid w:val="004A1EB4"/>
    <w:rsid w:val="00525395"/>
    <w:rsid w:val="00562687"/>
    <w:rsid w:val="00697FEC"/>
    <w:rsid w:val="006D2320"/>
    <w:rsid w:val="00742474"/>
    <w:rsid w:val="0075138B"/>
    <w:rsid w:val="00791E8B"/>
    <w:rsid w:val="007E657F"/>
    <w:rsid w:val="00801D5C"/>
    <w:rsid w:val="00914CE5"/>
    <w:rsid w:val="00942F3B"/>
    <w:rsid w:val="009437AA"/>
    <w:rsid w:val="009B27C1"/>
    <w:rsid w:val="009E33ED"/>
    <w:rsid w:val="009E5EC7"/>
    <w:rsid w:val="00A1112A"/>
    <w:rsid w:val="00A5024F"/>
    <w:rsid w:val="00A739A5"/>
    <w:rsid w:val="00AC71DB"/>
    <w:rsid w:val="00B424DE"/>
    <w:rsid w:val="00D17966"/>
    <w:rsid w:val="00D26FDB"/>
    <w:rsid w:val="00D55F5E"/>
    <w:rsid w:val="00D57DB1"/>
    <w:rsid w:val="00D97AA3"/>
    <w:rsid w:val="00DD2CAE"/>
    <w:rsid w:val="00E17758"/>
    <w:rsid w:val="00E50B47"/>
    <w:rsid w:val="00E52D71"/>
    <w:rsid w:val="00E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C1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424DE"/>
  </w:style>
  <w:style w:type="paragraph" w:styleId="Rodap">
    <w:name w:val="footer"/>
    <w:basedOn w:val="Normal"/>
    <w:link w:val="Rodap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424DE"/>
  </w:style>
  <w:style w:type="paragraph" w:styleId="Textodebalo">
    <w:name w:val="Balloon Text"/>
    <w:basedOn w:val="Normal"/>
    <w:link w:val="TextodebaloChar"/>
    <w:uiPriority w:val="99"/>
    <w:semiHidden/>
    <w:unhideWhenUsed/>
    <w:rsid w:val="0043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20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9B27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B27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27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9B2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C1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424DE"/>
  </w:style>
  <w:style w:type="paragraph" w:styleId="Rodap">
    <w:name w:val="footer"/>
    <w:basedOn w:val="Normal"/>
    <w:link w:val="Rodap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424DE"/>
  </w:style>
  <w:style w:type="paragraph" w:styleId="Textodebalo">
    <w:name w:val="Balloon Text"/>
    <w:basedOn w:val="Normal"/>
    <w:link w:val="TextodebaloChar"/>
    <w:uiPriority w:val="99"/>
    <w:semiHidden/>
    <w:unhideWhenUsed/>
    <w:rsid w:val="0043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20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9B27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B27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27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9B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coronavirus/2019-ncov/lab/guidelines-clinical-specimens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runam@fieb.org.br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kairaperdigao@fbter.org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ra\Downloads\lista%20(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ra\Downloads\lista%20(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400"/>
              <a:t>Tempo</a:t>
            </a:r>
            <a:r>
              <a:rPr lang="pt-BR" sz="1400" baseline="0"/>
              <a:t> de liberação dos exames</a:t>
            </a:r>
            <a:endParaRPr lang="pt-BR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'[lista (4).xlsx]Plan1'!$B$2</c:f>
              <c:strCache>
                <c:ptCount val="1"/>
                <c:pt idx="0">
                  <c:v>Quantidade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B8-4519-B17D-907E0B29646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B8-4519-B17D-907E0B29646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B8-4519-B17D-907E0B29646C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FB8-4519-B17D-907E0B29646C}"/>
              </c:ext>
            </c:extLst>
          </c:dPt>
          <c:cat>
            <c:strRef>
              <c:f>'[lista (4).xlsx]Plan1'!$A$3:$A$7</c:f>
              <c:strCache>
                <c:ptCount val="4"/>
                <c:pt idx="0">
                  <c:v>4 Horas</c:v>
                </c:pt>
                <c:pt idx="1">
                  <c:v>6 Horas</c:v>
                </c:pt>
                <c:pt idx="2">
                  <c:v>8 Horas</c:v>
                </c:pt>
                <c:pt idx="3">
                  <c:v>24 Horas</c:v>
                </c:pt>
              </c:strCache>
            </c:strRef>
          </c:cat>
          <c:val>
            <c:numRef>
              <c:f>'[lista (4).xlsx]Plan1'!$B$3:$B$6</c:f>
              <c:numCache>
                <c:formatCode>General</c:formatCode>
                <c:ptCount val="4"/>
                <c:pt idx="0">
                  <c:v>64</c:v>
                </c:pt>
                <c:pt idx="1">
                  <c:v>85</c:v>
                </c:pt>
                <c:pt idx="2">
                  <c:v>36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FB8-4519-B17D-907E0B296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390080"/>
        <c:axId val="239428736"/>
      </c:barChart>
      <c:catAx>
        <c:axId val="23939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428736"/>
        <c:crosses val="autoZero"/>
        <c:auto val="1"/>
        <c:lblAlgn val="ctr"/>
        <c:lblOffset val="100"/>
        <c:noMultiLvlLbl val="0"/>
      </c:catAx>
      <c:valAx>
        <c:axId val="23942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39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F3-4B2D-B926-541106955D62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F3-4B2D-B926-541106955D62}"/>
              </c:ext>
            </c:extLst>
          </c:dPt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/>
                    </a:pPr>
                    <a:r>
                      <a:rPr lang="en-US" b="1"/>
                      <a:t>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AF3-4B2D-B926-541106955D62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/>
                    </a:pPr>
                    <a:r>
                      <a:rPr lang="en-US" b="1"/>
                      <a:t>94%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AF3-4B2D-B926-541106955D6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'[lista (4).xlsx]Plan2'!$A$1:$A$2</c:f>
              <c:strCache>
                <c:ptCount val="2"/>
                <c:pt idx="0">
                  <c:v>Enviados no dia seguinte</c:v>
                </c:pt>
                <c:pt idx="1">
                  <c:v>Enviados no mesmo dia</c:v>
                </c:pt>
              </c:strCache>
            </c:strRef>
          </c:cat>
          <c:val>
            <c:numRef>
              <c:f>'[lista (4).xlsx]Plan2'!$B$1:$B$2</c:f>
              <c:numCache>
                <c:formatCode>General</c:formatCode>
                <c:ptCount val="2"/>
                <c:pt idx="0">
                  <c:v>10</c:v>
                </c:pt>
                <c:pt idx="1">
                  <c:v>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F3-4B2D-B926-541106955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84E3-7F02-4634-A996-316E1E79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Lefol Nani Guarieiro</dc:creator>
  <cp:lastModifiedBy>Kira</cp:lastModifiedBy>
  <cp:revision>2</cp:revision>
  <dcterms:created xsi:type="dcterms:W3CDTF">2023-05-08T18:26:00Z</dcterms:created>
  <dcterms:modified xsi:type="dcterms:W3CDTF">2023-05-08T18:26:00Z</dcterms:modified>
</cp:coreProperties>
</file>