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D1B3" w14:textId="3EEC79B1" w:rsidR="00F9724B" w:rsidRPr="00153A5D" w:rsidRDefault="00153A5D" w:rsidP="00153A5D">
      <w:pPr>
        <w:spacing w:after="0" w:line="240" w:lineRule="auto"/>
        <w:jc w:val="center"/>
      </w:pPr>
      <w:r>
        <w:rPr>
          <w:rFonts w:ascii="Arial" w:hAnsi="Arial" w:cs="Arial"/>
          <w:b/>
        </w:rPr>
        <w:t>DETECÇÃO DE BACTERIÓFAGOS COM POTENCIAL TERAPÊUTICO EM AMOSTRAS DE ÁGUAS RESIDUAIS DE SALVADOR/BA</w:t>
      </w:r>
    </w:p>
    <w:p w14:paraId="48FF8CC1" w14:textId="77777777" w:rsidR="00F9724B" w:rsidRDefault="00F9724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5489AED" w14:textId="77777777" w:rsidR="00153A5D" w:rsidRPr="00FB0669" w:rsidRDefault="00153A5D" w:rsidP="00153A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Carine dos Reis Teixeira</w:t>
      </w:r>
      <w:r w:rsidRPr="00A84355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A51019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Nicole M Hitchcock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; Danielle </w:t>
      </w:r>
      <w:proofErr w:type="spellStart"/>
      <w:r>
        <w:rPr>
          <w:rFonts w:ascii="Arial" w:hAnsi="Arial" w:cs="Arial"/>
          <w:sz w:val="20"/>
          <w:szCs w:val="20"/>
        </w:rPr>
        <w:t>Devequi</w:t>
      </w:r>
      <w:proofErr w:type="spellEnd"/>
      <w:r>
        <w:rPr>
          <w:rFonts w:ascii="Arial" w:hAnsi="Arial" w:cs="Arial"/>
          <w:sz w:val="20"/>
          <w:szCs w:val="20"/>
        </w:rPr>
        <w:t xml:space="preserve"> Gomes Nunes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7D6C76D2" w14:textId="77777777" w:rsidR="00153A5D" w:rsidRPr="00A51019" w:rsidRDefault="00153A5D" w:rsidP="00153A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1019"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>Bolsista; Iniciação cientifica – MEDTECH; carine.reis@fbter.org.br</w:t>
      </w:r>
    </w:p>
    <w:p w14:paraId="451758E4" w14:textId="77777777" w:rsidR="00153A5D" w:rsidRDefault="00153A5D" w:rsidP="00153A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1019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A51019">
        <w:rPr>
          <w:rFonts w:ascii="Arial" w:hAnsi="Arial" w:cs="Arial"/>
          <w:sz w:val="20"/>
          <w:szCs w:val="20"/>
        </w:rPr>
        <w:t>Centro Universitário SENAI CIMATEC</w:t>
      </w:r>
      <w:r>
        <w:rPr>
          <w:rFonts w:ascii="Arial" w:hAnsi="Arial" w:cs="Arial"/>
          <w:sz w:val="20"/>
          <w:szCs w:val="20"/>
        </w:rPr>
        <w:t>;</w:t>
      </w:r>
      <w:r w:rsidRPr="00A510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019">
        <w:rPr>
          <w:rFonts w:ascii="Arial" w:hAnsi="Arial" w:cs="Arial"/>
          <w:sz w:val="20"/>
          <w:szCs w:val="20"/>
        </w:rPr>
        <w:t>Salvador-BA</w:t>
      </w:r>
      <w:proofErr w:type="spellEnd"/>
      <w:r>
        <w:rPr>
          <w:rFonts w:ascii="Arial" w:hAnsi="Arial" w:cs="Arial"/>
          <w:sz w:val="20"/>
          <w:szCs w:val="20"/>
        </w:rPr>
        <w:t>; nicole.hitchocok@fbter.org.br</w:t>
      </w:r>
    </w:p>
    <w:p w14:paraId="64AC3013" w14:textId="7CD10F56" w:rsidR="00F9724B" w:rsidRDefault="00153A5D" w:rsidP="00D65B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2BE2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51019">
        <w:rPr>
          <w:rFonts w:ascii="Arial" w:hAnsi="Arial" w:cs="Arial"/>
          <w:sz w:val="20"/>
          <w:szCs w:val="20"/>
        </w:rPr>
        <w:t xml:space="preserve">Centro Universitário SENAI CIMATEC; </w:t>
      </w:r>
      <w:proofErr w:type="spellStart"/>
      <w:r w:rsidRPr="00A51019">
        <w:rPr>
          <w:rFonts w:ascii="Arial" w:hAnsi="Arial" w:cs="Arial"/>
          <w:sz w:val="20"/>
          <w:szCs w:val="20"/>
        </w:rPr>
        <w:t>Salvador-BA</w:t>
      </w:r>
      <w:proofErr w:type="spellEnd"/>
      <w:r w:rsidRPr="00D65B99">
        <w:rPr>
          <w:rFonts w:ascii="Arial" w:hAnsi="Arial" w:cs="Arial"/>
          <w:sz w:val="20"/>
          <w:szCs w:val="20"/>
        </w:rPr>
        <w:t xml:space="preserve">; </w:t>
      </w:r>
      <w:hyperlink r:id="rId7" w:history="1">
        <w:r w:rsidR="00D65B99" w:rsidRPr="00D65B9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danielle.nunes@fieb.org.br</w:t>
        </w:r>
      </w:hyperlink>
    </w:p>
    <w:p w14:paraId="57F451C1" w14:textId="77777777" w:rsidR="00D65B99" w:rsidRPr="00D65B99" w:rsidRDefault="00D65B99" w:rsidP="00D65B99">
      <w:pPr>
        <w:spacing w:line="240" w:lineRule="auto"/>
        <w:rPr>
          <w:rFonts w:ascii="Arial" w:hAnsi="Arial" w:cs="Arial"/>
          <w:sz w:val="20"/>
          <w:szCs w:val="20"/>
        </w:rPr>
      </w:pPr>
    </w:p>
    <w:p w14:paraId="5AAB081A" w14:textId="77777777" w:rsidR="00D65B99" w:rsidRPr="00821FD0" w:rsidRDefault="00D65B99" w:rsidP="00D65B99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  <w:r w:rsidRPr="00821FD0">
        <w:rPr>
          <w:rFonts w:ascii="Arial" w:hAnsi="Arial" w:cs="Arial"/>
          <w:b/>
          <w:color w:val="000000" w:themeColor="text1"/>
          <w:sz w:val="20"/>
        </w:rPr>
        <w:t>RESUMO</w:t>
      </w:r>
    </w:p>
    <w:p w14:paraId="6E62A69C" w14:textId="77777777" w:rsidR="00D65B99" w:rsidRPr="00D535D3" w:rsidRDefault="00D65B99" w:rsidP="00D65B99">
      <w:pPr>
        <w:pStyle w:val="ResumoExpandido"/>
      </w:pPr>
      <w:r w:rsidRPr="00D535D3">
        <w:t xml:space="preserve">Os bacteriófagos </w:t>
      </w:r>
      <w:r>
        <w:t xml:space="preserve">(fagos) </w:t>
      </w:r>
      <w:r w:rsidRPr="00D535D3">
        <w:t>são vírus que infectam bactérias e têm sido estudados como agentes terapêuticos para</w:t>
      </w:r>
      <w:r>
        <w:t xml:space="preserve"> o</w:t>
      </w:r>
      <w:r w:rsidRPr="00D535D3">
        <w:t xml:space="preserve"> controle de infecções bacterianas em diferentes áreas. O </w:t>
      </w:r>
      <w:r>
        <w:t xml:space="preserve">estudo </w:t>
      </w:r>
      <w:r w:rsidRPr="00D535D3">
        <w:t xml:space="preserve">teve como objetivo detectar bacteriófagos presentes em amostras de águas residuais do município de Salvador/Ba capazes de infectar uma cepa não resistente de </w:t>
      </w:r>
      <w:r w:rsidRPr="00C96915">
        <w:rPr>
          <w:i/>
          <w:iCs/>
        </w:rPr>
        <w:t xml:space="preserve">Klebsiella </w:t>
      </w:r>
      <w:proofErr w:type="spellStart"/>
      <w:r w:rsidRPr="00C96915">
        <w:rPr>
          <w:i/>
          <w:iCs/>
        </w:rPr>
        <w:t>pneumoniae</w:t>
      </w:r>
      <w:proofErr w:type="spellEnd"/>
      <w:r w:rsidRPr="00D535D3">
        <w:t xml:space="preserve"> </w:t>
      </w:r>
      <w:r>
        <w:t xml:space="preserve">ATCC </w:t>
      </w:r>
      <w:r w:rsidRPr="00D535D3">
        <w:t>10031. A metodologia usada visa aumentar a concentração de bacteriófagos presentes na amostra ao colocá-los junto a bactéria alvo para avaliar sua capacidade lítica</w:t>
      </w:r>
      <w:r>
        <w:t xml:space="preserve">, facilitando </w:t>
      </w:r>
      <w:r w:rsidRPr="00D535D3">
        <w:t>sua detecção. Os fagos foram purificados, coletados e armazenados para futuras análises contra cepas resistentes da bactéria. Os resultados demonstraram q</w:t>
      </w:r>
      <w:r>
        <w:t>ue havia</w:t>
      </w:r>
      <w:r w:rsidRPr="00D535D3">
        <w:t xml:space="preserve"> fagos em 16 das 19 amostras analisadas. </w:t>
      </w:r>
      <w:r>
        <w:t xml:space="preserve">Os </w:t>
      </w:r>
      <w:r w:rsidRPr="00D535D3">
        <w:t xml:space="preserve">fagos encontrados em águas residuais demonstram potencial para tratamentos contra bactérias do grupo ESKAPE. Visto que essas águas passaram pela utilização humana, possuem alto grau de contaminação fecal, sugerindo a presença </w:t>
      </w:r>
      <w:r>
        <w:t xml:space="preserve">de </w:t>
      </w:r>
      <w:r w:rsidRPr="00D535D3">
        <w:t>fagos</w:t>
      </w:r>
      <w:r>
        <w:t xml:space="preserve"> com potencial para combater</w:t>
      </w:r>
      <w:r w:rsidRPr="00D535D3">
        <w:t xml:space="preserve"> bactérias </w:t>
      </w:r>
      <w:r>
        <w:t>causadoras de</w:t>
      </w:r>
      <w:r w:rsidRPr="00D535D3">
        <w:t xml:space="preserve"> infecções em humanos.</w:t>
      </w:r>
    </w:p>
    <w:p w14:paraId="599E8E5B" w14:textId="77777777" w:rsidR="00D65B99" w:rsidRDefault="00D65B99" w:rsidP="00D65B99">
      <w:pPr>
        <w:spacing w:after="0" w:line="240" w:lineRule="auto"/>
        <w:jc w:val="both"/>
        <w:rPr>
          <w:rFonts w:ascii="Arial" w:hAnsi="Arial" w:cs="Arial"/>
        </w:rPr>
      </w:pPr>
    </w:p>
    <w:p w14:paraId="32C81140" w14:textId="77777777" w:rsidR="00D65B99" w:rsidRPr="00330650" w:rsidRDefault="00D65B99" w:rsidP="00D65B99">
      <w:pPr>
        <w:spacing w:after="0" w:line="240" w:lineRule="auto"/>
        <w:jc w:val="both"/>
        <w:rPr>
          <w:rFonts w:ascii="Arial" w:hAnsi="Arial" w:cs="Arial"/>
          <w:sz w:val="18"/>
        </w:rPr>
      </w:pPr>
      <w:r w:rsidRPr="00330650">
        <w:rPr>
          <w:rFonts w:ascii="Arial" w:hAnsi="Arial" w:cs="Arial"/>
          <w:b/>
          <w:sz w:val="18"/>
        </w:rPr>
        <w:t>PALAVRAS-CHAVE:</w:t>
      </w:r>
      <w:r w:rsidRPr="0033065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Bacteriófagos; Águas residuais; Bactérias multirresistentes; Terapia </w:t>
      </w:r>
      <w:proofErr w:type="spellStart"/>
      <w:r>
        <w:rPr>
          <w:rFonts w:ascii="Arial" w:hAnsi="Arial" w:cs="Arial"/>
          <w:sz w:val="18"/>
        </w:rPr>
        <w:t>fágica</w:t>
      </w:r>
      <w:proofErr w:type="spellEnd"/>
      <w:r>
        <w:rPr>
          <w:rFonts w:ascii="Arial" w:hAnsi="Arial" w:cs="Arial"/>
          <w:sz w:val="18"/>
        </w:rPr>
        <w:t>.</w:t>
      </w:r>
    </w:p>
    <w:p w14:paraId="404A9612" w14:textId="77777777" w:rsidR="00D65B99" w:rsidRDefault="00D65B99" w:rsidP="00D65B99">
      <w:pPr>
        <w:spacing w:after="0" w:line="240" w:lineRule="auto"/>
        <w:jc w:val="both"/>
        <w:rPr>
          <w:rFonts w:ascii="Arial" w:hAnsi="Arial" w:cs="Arial"/>
        </w:rPr>
      </w:pPr>
    </w:p>
    <w:p w14:paraId="086C17DE" w14:textId="77777777" w:rsidR="00D65B99" w:rsidRPr="00E70F55" w:rsidRDefault="00D65B99" w:rsidP="00D65B9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70F55">
        <w:rPr>
          <w:rFonts w:ascii="Arial" w:hAnsi="Arial" w:cs="Arial"/>
          <w:b/>
          <w:sz w:val="20"/>
          <w:szCs w:val="20"/>
        </w:rPr>
        <w:t>1. INTRODUÇÃO</w:t>
      </w:r>
    </w:p>
    <w:p w14:paraId="35DC65A2" w14:textId="77777777" w:rsidR="00D65B99" w:rsidRPr="00E70F55" w:rsidRDefault="00D65B99" w:rsidP="00D65B99">
      <w:pPr>
        <w:pStyle w:val="ResumoExpandido"/>
        <w:ind w:firstLine="708"/>
        <w:rPr>
          <w:sz w:val="20"/>
          <w:szCs w:val="20"/>
        </w:rPr>
      </w:pPr>
      <w:r w:rsidRPr="00E70F55">
        <w:rPr>
          <w:sz w:val="20"/>
          <w:szCs w:val="20"/>
        </w:rPr>
        <w:t>Os bacteriófagos são vírus que infectam bactérias</w:t>
      </w:r>
      <w:r>
        <w:rPr>
          <w:sz w:val="20"/>
          <w:szCs w:val="20"/>
        </w:rPr>
        <w:t>,</w:t>
      </w:r>
      <w:r w:rsidRPr="00E70F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são </w:t>
      </w:r>
      <w:r w:rsidRPr="00E70F55">
        <w:rPr>
          <w:sz w:val="20"/>
          <w:szCs w:val="20"/>
        </w:rPr>
        <w:t>conhecidos como “fagos”</w:t>
      </w:r>
      <w:r>
        <w:rPr>
          <w:sz w:val="20"/>
          <w:szCs w:val="20"/>
        </w:rPr>
        <w:t xml:space="preserve"> e</w:t>
      </w:r>
      <w:r w:rsidRPr="00E70F55">
        <w:rPr>
          <w:sz w:val="20"/>
          <w:szCs w:val="20"/>
        </w:rPr>
        <w:t xml:space="preserve"> estão presentes em quase todos os ecossistemas terrestres, inclusive dentro de outros organismos, como os humanos</w:t>
      </w:r>
      <w:r w:rsidRPr="00741B55">
        <w:rPr>
          <w:sz w:val="20"/>
          <w:szCs w:val="20"/>
          <w:vertAlign w:val="superscript"/>
        </w:rPr>
        <w:t>1</w:t>
      </w:r>
      <w:r w:rsidRPr="00E70F55">
        <w:rPr>
          <w:sz w:val="20"/>
          <w:szCs w:val="20"/>
        </w:rPr>
        <w:t>. São ubíquos no ambiente, mas especialmente prósperos em áreas onde as bactérias são abundantes, controlando a proliferação de seu hospedeiro e impactando diretamente no ecossistema em que está inserido</w:t>
      </w:r>
      <w:r w:rsidRPr="004C4A22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. </w:t>
      </w:r>
      <w:r w:rsidRPr="00E70F55">
        <w:rPr>
          <w:sz w:val="20"/>
          <w:szCs w:val="20"/>
        </w:rPr>
        <w:t xml:space="preserve">Desde </w:t>
      </w:r>
      <w:r>
        <w:rPr>
          <w:sz w:val="20"/>
          <w:szCs w:val="20"/>
        </w:rPr>
        <w:t>sua</w:t>
      </w:r>
      <w:r w:rsidRPr="00E70F55">
        <w:rPr>
          <w:sz w:val="20"/>
          <w:szCs w:val="20"/>
        </w:rPr>
        <w:t xml:space="preserve"> descoberta no início do século XX</w:t>
      </w:r>
      <w:r>
        <w:rPr>
          <w:sz w:val="20"/>
          <w:szCs w:val="20"/>
        </w:rPr>
        <w:t xml:space="preserve">, </w:t>
      </w:r>
      <w:r w:rsidRPr="00E70F55">
        <w:rPr>
          <w:sz w:val="20"/>
          <w:szCs w:val="20"/>
        </w:rPr>
        <w:t>os bacteriófagos contribu</w:t>
      </w:r>
      <w:r>
        <w:rPr>
          <w:sz w:val="20"/>
          <w:szCs w:val="20"/>
        </w:rPr>
        <w:t>em</w:t>
      </w:r>
      <w:r w:rsidRPr="00E70F55">
        <w:rPr>
          <w:sz w:val="20"/>
          <w:szCs w:val="20"/>
        </w:rPr>
        <w:t xml:space="preserve"> o desenvolvimento da biologia molecular </w:t>
      </w:r>
      <w:r>
        <w:rPr>
          <w:sz w:val="20"/>
          <w:szCs w:val="20"/>
        </w:rPr>
        <w:t>e para</w:t>
      </w:r>
      <w:r w:rsidRPr="00E70F55">
        <w:rPr>
          <w:sz w:val="20"/>
          <w:szCs w:val="20"/>
        </w:rPr>
        <w:t xml:space="preserve"> compreensão da interação entre vírus e células hospedeiras</w:t>
      </w:r>
      <w:r w:rsidRPr="00C30EAF">
        <w:rPr>
          <w:sz w:val="20"/>
          <w:szCs w:val="20"/>
          <w:vertAlign w:val="superscript"/>
        </w:rPr>
        <w:t>3</w:t>
      </w:r>
      <w:r w:rsidRPr="00E70F55">
        <w:rPr>
          <w:sz w:val="20"/>
          <w:szCs w:val="20"/>
        </w:rPr>
        <w:t>.</w:t>
      </w:r>
      <w:r>
        <w:rPr>
          <w:sz w:val="20"/>
          <w:szCs w:val="20"/>
        </w:rPr>
        <w:t xml:space="preserve"> Tais vírus</w:t>
      </w:r>
      <w:r w:rsidRPr="00E70F55">
        <w:rPr>
          <w:sz w:val="20"/>
          <w:szCs w:val="20"/>
        </w:rPr>
        <w:t xml:space="preserve"> têm sido amplamente estudados como ferramentas para o controle de infecções bacterianas em diferentes áreas, inclusive como agentes terapêuticos para promoção de saúde humana e animal contra</w:t>
      </w:r>
      <w:r>
        <w:rPr>
          <w:sz w:val="20"/>
          <w:szCs w:val="20"/>
        </w:rPr>
        <w:t xml:space="preserve"> essas</w:t>
      </w:r>
      <w:r w:rsidRPr="00E70F55">
        <w:rPr>
          <w:sz w:val="20"/>
          <w:szCs w:val="20"/>
        </w:rPr>
        <w:t xml:space="preserve"> infecções.</w:t>
      </w:r>
    </w:p>
    <w:p w14:paraId="6333C45A" w14:textId="77777777" w:rsidR="00D65B99" w:rsidRPr="00E70F55" w:rsidRDefault="00D65B99" w:rsidP="00D65B99">
      <w:pPr>
        <w:pStyle w:val="ResumoExpandido"/>
        <w:ind w:firstLine="708"/>
        <w:rPr>
          <w:sz w:val="20"/>
          <w:szCs w:val="20"/>
        </w:rPr>
      </w:pPr>
      <w:r w:rsidRPr="00E70F55">
        <w:rPr>
          <w:sz w:val="20"/>
          <w:szCs w:val="20"/>
        </w:rPr>
        <w:t xml:space="preserve">Recentemente, vários estudos relacionados à terapia </w:t>
      </w:r>
      <w:proofErr w:type="spellStart"/>
      <w:r w:rsidRPr="00E70F55">
        <w:rPr>
          <w:sz w:val="20"/>
          <w:szCs w:val="20"/>
        </w:rPr>
        <w:t>fágica</w:t>
      </w:r>
      <w:proofErr w:type="spellEnd"/>
      <w:r w:rsidRPr="00E70F55">
        <w:rPr>
          <w:sz w:val="20"/>
          <w:szCs w:val="20"/>
        </w:rPr>
        <w:t xml:space="preserve"> foram recuperados devido ao aumento da morbidade e mortalidade de infecções com patógenos ESKAPE (</w:t>
      </w:r>
      <w:proofErr w:type="spellStart"/>
      <w:r w:rsidRPr="00E70F55">
        <w:rPr>
          <w:i/>
          <w:iCs/>
          <w:sz w:val="20"/>
          <w:szCs w:val="20"/>
        </w:rPr>
        <w:t>Enterococcus</w:t>
      </w:r>
      <w:proofErr w:type="spellEnd"/>
      <w:r w:rsidRPr="00E70F55">
        <w:rPr>
          <w:i/>
          <w:iCs/>
          <w:sz w:val="20"/>
          <w:szCs w:val="20"/>
        </w:rPr>
        <w:t xml:space="preserve"> </w:t>
      </w:r>
      <w:proofErr w:type="spellStart"/>
      <w:r w:rsidRPr="00E70F55">
        <w:rPr>
          <w:i/>
          <w:iCs/>
          <w:sz w:val="20"/>
          <w:szCs w:val="20"/>
        </w:rPr>
        <w:t>faecium</w:t>
      </w:r>
      <w:proofErr w:type="spellEnd"/>
      <w:r w:rsidRPr="00E70F55">
        <w:rPr>
          <w:i/>
          <w:iCs/>
          <w:sz w:val="20"/>
          <w:szCs w:val="20"/>
        </w:rPr>
        <w:t xml:space="preserve">, </w:t>
      </w:r>
      <w:proofErr w:type="spellStart"/>
      <w:r w:rsidRPr="00E70F55">
        <w:rPr>
          <w:i/>
          <w:iCs/>
          <w:sz w:val="20"/>
          <w:szCs w:val="20"/>
        </w:rPr>
        <w:t>Staphylococcus</w:t>
      </w:r>
      <w:proofErr w:type="spellEnd"/>
      <w:r w:rsidRPr="00E70F55">
        <w:rPr>
          <w:i/>
          <w:iCs/>
          <w:sz w:val="20"/>
          <w:szCs w:val="20"/>
        </w:rPr>
        <w:t xml:space="preserve"> aureus resistente, Klebsiella </w:t>
      </w:r>
      <w:proofErr w:type="spellStart"/>
      <w:r w:rsidRPr="00E70F55">
        <w:rPr>
          <w:i/>
          <w:iCs/>
          <w:sz w:val="20"/>
          <w:szCs w:val="20"/>
        </w:rPr>
        <w:t>pneumoniae</w:t>
      </w:r>
      <w:proofErr w:type="spellEnd"/>
      <w:r w:rsidRPr="00E70F55">
        <w:rPr>
          <w:i/>
          <w:iCs/>
          <w:sz w:val="20"/>
          <w:szCs w:val="20"/>
        </w:rPr>
        <w:t xml:space="preserve">, </w:t>
      </w:r>
      <w:proofErr w:type="spellStart"/>
      <w:r w:rsidRPr="00E70F55">
        <w:rPr>
          <w:i/>
          <w:iCs/>
          <w:sz w:val="20"/>
          <w:szCs w:val="20"/>
        </w:rPr>
        <w:t>Acinetobacter</w:t>
      </w:r>
      <w:proofErr w:type="spellEnd"/>
      <w:r w:rsidRPr="00E70F55">
        <w:rPr>
          <w:i/>
          <w:iCs/>
          <w:sz w:val="20"/>
          <w:szCs w:val="20"/>
        </w:rPr>
        <w:t xml:space="preserve"> baumannii, Pseudomonas aeruginosa e Enterobacter espécies</w:t>
      </w:r>
      <w:r w:rsidRPr="00E70F55">
        <w:rPr>
          <w:sz w:val="20"/>
          <w:szCs w:val="20"/>
        </w:rPr>
        <w:t>) resistentes a múltiplas drogas</w:t>
      </w:r>
      <w:r w:rsidRPr="00311B87">
        <w:rPr>
          <w:sz w:val="20"/>
          <w:szCs w:val="20"/>
          <w:vertAlign w:val="superscript"/>
        </w:rPr>
        <w:t>6</w:t>
      </w:r>
      <w:r w:rsidRPr="00E70F55">
        <w:rPr>
          <w:sz w:val="20"/>
          <w:szCs w:val="20"/>
        </w:rPr>
        <w:t xml:space="preserve">. Em 2017, a Organização Mundial da Saúde (OMS) alertou sobre os níveis alarmantes da resistência bacteriana em várias partes do mundo e classificando as bactérias do grupo ESKAPE, conhecidas pelo alto nível de resistência aos antibióticos, sendo potencialmente perigosas e difíceis de tratar, como "prioritários críticos" para os quais o desenvolvimento de antibacterianos é urgente e necessário. De maneira específica, </w:t>
      </w:r>
      <w:r>
        <w:rPr>
          <w:sz w:val="20"/>
          <w:szCs w:val="20"/>
        </w:rPr>
        <w:t>esse estudo</w:t>
      </w:r>
      <w:r w:rsidRPr="00E70F55">
        <w:rPr>
          <w:sz w:val="20"/>
          <w:szCs w:val="20"/>
        </w:rPr>
        <w:t xml:space="preserve"> teve</w:t>
      </w:r>
      <w:r>
        <w:rPr>
          <w:sz w:val="20"/>
          <w:szCs w:val="20"/>
        </w:rPr>
        <w:t xml:space="preserve"> como objetivo</w:t>
      </w:r>
      <w:r w:rsidRPr="00E70F55">
        <w:rPr>
          <w:sz w:val="20"/>
          <w:szCs w:val="20"/>
        </w:rPr>
        <w:t xml:space="preserve"> detectar e isolar bacteriófagos capazes de infectar bactérias </w:t>
      </w:r>
      <w:r w:rsidRPr="00E70F55">
        <w:rPr>
          <w:i/>
          <w:iCs/>
          <w:sz w:val="20"/>
          <w:szCs w:val="20"/>
        </w:rPr>
        <w:t xml:space="preserve">Klebsiella </w:t>
      </w:r>
      <w:proofErr w:type="spellStart"/>
      <w:r w:rsidRPr="00E70F55">
        <w:rPr>
          <w:i/>
          <w:iCs/>
          <w:sz w:val="20"/>
          <w:szCs w:val="20"/>
        </w:rPr>
        <w:t>pneumoniae</w:t>
      </w:r>
      <w:proofErr w:type="spellEnd"/>
      <w:r w:rsidRPr="00E70F55">
        <w:rPr>
          <w:i/>
          <w:iCs/>
          <w:sz w:val="20"/>
          <w:szCs w:val="20"/>
        </w:rPr>
        <w:t xml:space="preserve"> </w:t>
      </w:r>
      <w:r w:rsidRPr="00E70F55">
        <w:rPr>
          <w:sz w:val="20"/>
          <w:szCs w:val="20"/>
        </w:rPr>
        <w:t>(</w:t>
      </w:r>
      <w:r>
        <w:rPr>
          <w:sz w:val="20"/>
          <w:szCs w:val="20"/>
        </w:rPr>
        <w:t xml:space="preserve">ATCC </w:t>
      </w:r>
      <w:r w:rsidRPr="00D94152">
        <w:rPr>
          <w:sz w:val="20"/>
          <w:szCs w:val="20"/>
        </w:rPr>
        <w:t>10031</w:t>
      </w:r>
      <w:r w:rsidRPr="00E70F5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E70F55">
        <w:rPr>
          <w:sz w:val="20"/>
          <w:szCs w:val="20"/>
        </w:rPr>
        <w:t xml:space="preserve">a partir de amostras de águas residuais de diferentes regiões do município de Salvador/Ba. </w:t>
      </w:r>
    </w:p>
    <w:p w14:paraId="54009BFE" w14:textId="77777777" w:rsidR="00D65B99" w:rsidRPr="00E70F55" w:rsidRDefault="00D65B99" w:rsidP="00D65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6D3D4F" w14:textId="77777777" w:rsidR="00D65B99" w:rsidRPr="00FA3F83" w:rsidRDefault="00D65B99" w:rsidP="00D65B9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70F55">
        <w:rPr>
          <w:rFonts w:ascii="Arial" w:hAnsi="Arial" w:cs="Arial"/>
          <w:b/>
          <w:sz w:val="20"/>
          <w:szCs w:val="20"/>
        </w:rPr>
        <w:t>2. METODOLOGIA</w:t>
      </w:r>
    </w:p>
    <w:p w14:paraId="17D5D7F8" w14:textId="77777777" w:rsidR="00D65B99" w:rsidRPr="00616411" w:rsidRDefault="00D65B99" w:rsidP="00D65B99">
      <w:pPr>
        <w:pStyle w:val="ResumoExpandido"/>
        <w:spacing w:after="240"/>
        <w:rPr>
          <w:b/>
          <w:bCs/>
          <w:sz w:val="20"/>
          <w:szCs w:val="20"/>
        </w:rPr>
      </w:pPr>
      <w:r w:rsidRPr="00E70F55">
        <w:rPr>
          <w:b/>
          <w:bCs/>
          <w:sz w:val="20"/>
          <w:szCs w:val="20"/>
        </w:rPr>
        <w:t>Recepção e Tratamento da amostra</w:t>
      </w:r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f</w:t>
      </w:r>
      <w:r w:rsidRPr="00E70F55">
        <w:rPr>
          <w:sz w:val="20"/>
          <w:szCs w:val="20"/>
        </w:rPr>
        <w:t>oram analisadas 19 amostras ambientais provenientes de esgoto bruto, efluentes e locais de captação</w:t>
      </w:r>
      <w:r>
        <w:rPr>
          <w:sz w:val="20"/>
          <w:szCs w:val="20"/>
        </w:rPr>
        <w:t>. As</w:t>
      </w:r>
      <w:r w:rsidRPr="00E70F55">
        <w:rPr>
          <w:sz w:val="20"/>
          <w:szCs w:val="20"/>
        </w:rPr>
        <w:t xml:space="preserve"> amostra</w:t>
      </w:r>
      <w:r>
        <w:rPr>
          <w:sz w:val="20"/>
          <w:szCs w:val="20"/>
        </w:rPr>
        <w:t>s</w:t>
      </w:r>
      <w:r w:rsidRPr="00E70F55">
        <w:rPr>
          <w:sz w:val="20"/>
          <w:szCs w:val="20"/>
        </w:rPr>
        <w:t xml:space="preserve"> </w:t>
      </w:r>
      <w:r>
        <w:rPr>
          <w:sz w:val="20"/>
          <w:szCs w:val="20"/>
        </w:rPr>
        <w:t>recebidas foram</w:t>
      </w:r>
      <w:r w:rsidRPr="00E70F55">
        <w:rPr>
          <w:sz w:val="20"/>
          <w:szCs w:val="20"/>
        </w:rPr>
        <w:t xml:space="preserve"> identificada</w:t>
      </w:r>
      <w:r>
        <w:rPr>
          <w:sz w:val="20"/>
          <w:szCs w:val="20"/>
        </w:rPr>
        <w:t>s</w:t>
      </w:r>
      <w:r w:rsidRPr="00E70F55">
        <w:rPr>
          <w:sz w:val="20"/>
          <w:szCs w:val="20"/>
        </w:rPr>
        <w:t xml:space="preserve"> com local de extração, data da coleta e tipo de amostra</w:t>
      </w:r>
      <w:r>
        <w:rPr>
          <w:sz w:val="20"/>
          <w:szCs w:val="20"/>
        </w:rPr>
        <w:t>.</w:t>
      </w:r>
      <w:r w:rsidRPr="00E70F55">
        <w:rPr>
          <w:sz w:val="20"/>
          <w:szCs w:val="20"/>
        </w:rPr>
        <w:t xml:space="preserve"> As amostras foram centrifugadas </w:t>
      </w:r>
      <w:r>
        <w:rPr>
          <w:sz w:val="20"/>
          <w:szCs w:val="20"/>
        </w:rPr>
        <w:t>e filtradas até</w:t>
      </w:r>
      <w:r w:rsidRPr="00E70F55">
        <w:rPr>
          <w:sz w:val="20"/>
          <w:szCs w:val="20"/>
        </w:rPr>
        <w:t xml:space="preserve"> a remoção total de partículas sólidas e matéria orgânica. </w:t>
      </w:r>
    </w:p>
    <w:p w14:paraId="01CAF786" w14:textId="77777777" w:rsidR="00D65B99" w:rsidRPr="00616411" w:rsidRDefault="00D65B99" w:rsidP="00D65B99">
      <w:pPr>
        <w:pStyle w:val="ResumoExpandido"/>
        <w:rPr>
          <w:b/>
          <w:bCs/>
          <w:sz w:val="20"/>
          <w:szCs w:val="20"/>
        </w:rPr>
      </w:pPr>
      <w:r w:rsidRPr="00E70F55">
        <w:rPr>
          <w:b/>
          <w:bCs/>
          <w:sz w:val="20"/>
          <w:szCs w:val="20"/>
        </w:rPr>
        <w:t>Enriquecimento de fagos</w:t>
      </w:r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essa etapa</w:t>
      </w:r>
      <w:r w:rsidRPr="00E70F55">
        <w:rPr>
          <w:sz w:val="20"/>
          <w:szCs w:val="20"/>
        </w:rPr>
        <w:t xml:space="preserve"> visa aumentar a concentração de bacteriófagos presentes na amostra ao colocá-los junto a bactéria alvo para qu</w:t>
      </w:r>
      <w:r>
        <w:rPr>
          <w:sz w:val="20"/>
          <w:szCs w:val="20"/>
        </w:rPr>
        <w:t>e</w:t>
      </w:r>
      <w:r w:rsidRPr="00E70F55">
        <w:rPr>
          <w:sz w:val="20"/>
          <w:szCs w:val="20"/>
        </w:rPr>
        <w:t xml:space="preserve"> se multipliquem,</w:t>
      </w:r>
      <w:r>
        <w:rPr>
          <w:sz w:val="20"/>
          <w:szCs w:val="20"/>
        </w:rPr>
        <w:t xml:space="preserve"> facilitando a</w:t>
      </w:r>
      <w:r w:rsidRPr="00E70F55">
        <w:rPr>
          <w:sz w:val="20"/>
          <w:szCs w:val="20"/>
        </w:rPr>
        <w:t xml:space="preserve"> detecção. </w:t>
      </w:r>
      <w:r>
        <w:rPr>
          <w:sz w:val="20"/>
          <w:szCs w:val="20"/>
        </w:rPr>
        <w:t>U</w:t>
      </w:r>
      <w:r w:rsidRPr="00E70F55">
        <w:rPr>
          <w:sz w:val="20"/>
          <w:szCs w:val="20"/>
        </w:rPr>
        <w:t xml:space="preserve">ma mistura de caldo Luria </w:t>
      </w:r>
      <w:proofErr w:type="spellStart"/>
      <w:r w:rsidRPr="00E70F55">
        <w:rPr>
          <w:sz w:val="20"/>
          <w:szCs w:val="20"/>
        </w:rPr>
        <w:t>Bertani</w:t>
      </w:r>
      <w:proofErr w:type="spellEnd"/>
      <w:r w:rsidRPr="00E70F55">
        <w:rPr>
          <w:sz w:val="20"/>
          <w:szCs w:val="20"/>
        </w:rPr>
        <w:t xml:space="preserve"> (LB), amostra ambiental filtrada e uma cultura bacteriana com densidade óptica conhecida foi colocada em uma incubadora por agitação (</w:t>
      </w:r>
      <w:proofErr w:type="spellStart"/>
      <w:r w:rsidRPr="00E70F55">
        <w:rPr>
          <w:sz w:val="20"/>
          <w:szCs w:val="20"/>
        </w:rPr>
        <w:t>Lab</w:t>
      </w:r>
      <w:proofErr w:type="spellEnd"/>
      <w:r w:rsidRPr="00E70F55">
        <w:rPr>
          <w:sz w:val="20"/>
          <w:szCs w:val="20"/>
        </w:rPr>
        <w:t xml:space="preserve"> </w:t>
      </w:r>
      <w:proofErr w:type="spellStart"/>
      <w:r w:rsidRPr="00E70F55">
        <w:rPr>
          <w:sz w:val="20"/>
          <w:szCs w:val="20"/>
        </w:rPr>
        <w:t>companion</w:t>
      </w:r>
      <w:proofErr w:type="spellEnd"/>
      <w:r w:rsidRPr="00E70F55">
        <w:rPr>
          <w:sz w:val="20"/>
          <w:szCs w:val="20"/>
        </w:rPr>
        <w:t xml:space="preserve"> – SIF500R)</w:t>
      </w:r>
      <w:r>
        <w:rPr>
          <w:sz w:val="20"/>
          <w:szCs w:val="20"/>
        </w:rPr>
        <w:t>.</w:t>
      </w:r>
    </w:p>
    <w:p w14:paraId="62868C85" w14:textId="77777777" w:rsidR="00D65B99" w:rsidRPr="00E70F55" w:rsidRDefault="00D65B99" w:rsidP="00D65B99">
      <w:pPr>
        <w:pStyle w:val="ResumoExpandido"/>
        <w:rPr>
          <w:sz w:val="20"/>
          <w:szCs w:val="20"/>
        </w:rPr>
      </w:pPr>
    </w:p>
    <w:p w14:paraId="5EC9B70A" w14:textId="480FA5BE" w:rsidR="00D65B99" w:rsidRPr="00616411" w:rsidRDefault="00D65B99" w:rsidP="00D65B99">
      <w:pPr>
        <w:pStyle w:val="ResumoExpandido"/>
        <w:spacing w:after="240"/>
        <w:rPr>
          <w:b/>
          <w:bCs/>
          <w:sz w:val="20"/>
          <w:szCs w:val="20"/>
        </w:rPr>
      </w:pPr>
      <w:r w:rsidRPr="00E70F55">
        <w:rPr>
          <w:b/>
          <w:bCs/>
          <w:sz w:val="20"/>
          <w:szCs w:val="20"/>
        </w:rPr>
        <w:t>Ensaio de placa</w:t>
      </w:r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 xml:space="preserve">nessa </w:t>
      </w:r>
      <w:r w:rsidRPr="00E70F55">
        <w:rPr>
          <w:sz w:val="20"/>
          <w:szCs w:val="20"/>
        </w:rPr>
        <w:t>fase ocorre u</w:t>
      </w:r>
      <w:r w:rsidRPr="00E70F55">
        <w:rPr>
          <w:color w:val="000000" w:themeColor="text1"/>
          <w:sz w:val="20"/>
          <w:szCs w:val="20"/>
        </w:rPr>
        <w:t xml:space="preserve">ma triagem inicial da presença e da atividade lítica do fago, </w:t>
      </w:r>
      <w:r w:rsidRPr="00E70F55">
        <w:rPr>
          <w:sz w:val="20"/>
          <w:szCs w:val="20"/>
        </w:rPr>
        <w:t xml:space="preserve">esse processo é realizado em uma placa de Petri com a técnica de dupla camada de ágar. A primeira camada é composta por um gel de agarose cuja função é sustentar a segunda camada que tem uma concentração menor e permite a movimentação dos fagos. </w:t>
      </w:r>
      <w:r>
        <w:rPr>
          <w:sz w:val="20"/>
          <w:szCs w:val="20"/>
        </w:rPr>
        <w:t>A</w:t>
      </w:r>
      <w:r w:rsidRPr="00E70F55">
        <w:rPr>
          <w:sz w:val="20"/>
          <w:szCs w:val="20"/>
        </w:rPr>
        <w:t xml:space="preserve"> mi</w:t>
      </w:r>
      <w:r>
        <w:rPr>
          <w:sz w:val="20"/>
          <w:szCs w:val="20"/>
        </w:rPr>
        <w:t>stura</w:t>
      </w:r>
      <w:r w:rsidRPr="00E70F55">
        <w:rPr>
          <w:sz w:val="20"/>
          <w:szCs w:val="20"/>
        </w:rPr>
        <w:t xml:space="preserve"> proveniente </w:t>
      </w:r>
      <w:r>
        <w:rPr>
          <w:sz w:val="20"/>
          <w:szCs w:val="20"/>
        </w:rPr>
        <w:t xml:space="preserve">do </w:t>
      </w:r>
      <w:r w:rsidRPr="00E70F55">
        <w:rPr>
          <w:sz w:val="20"/>
          <w:szCs w:val="20"/>
        </w:rPr>
        <w:t xml:space="preserve">enriquecimento foi </w:t>
      </w:r>
      <w:r w:rsidRPr="00E70F55">
        <w:rPr>
          <w:sz w:val="20"/>
          <w:szCs w:val="20"/>
        </w:rPr>
        <w:t>centrifugada e filtrada</w:t>
      </w:r>
      <w:r>
        <w:rPr>
          <w:sz w:val="20"/>
          <w:szCs w:val="20"/>
        </w:rPr>
        <w:t>,</w:t>
      </w:r>
      <w:r w:rsidRPr="00E70F55">
        <w:rPr>
          <w:sz w:val="20"/>
          <w:szCs w:val="20"/>
        </w:rPr>
        <w:t xml:space="preserve"> uma gota foi </w:t>
      </w:r>
      <w:r>
        <w:rPr>
          <w:sz w:val="20"/>
          <w:szCs w:val="20"/>
        </w:rPr>
        <w:t>colocada</w:t>
      </w:r>
      <w:r w:rsidRPr="00E70F55">
        <w:rPr>
          <w:sz w:val="20"/>
          <w:szCs w:val="20"/>
        </w:rPr>
        <w:t xml:space="preserve"> sobre a segunda camada de ágar inoculado com a bactéria alvo. </w:t>
      </w:r>
      <w:r>
        <w:rPr>
          <w:sz w:val="20"/>
          <w:szCs w:val="20"/>
        </w:rPr>
        <w:t xml:space="preserve">Após a </w:t>
      </w:r>
      <w:r>
        <w:rPr>
          <w:sz w:val="20"/>
          <w:szCs w:val="20"/>
        </w:rPr>
        <w:lastRenderedPageBreak/>
        <w:t>incubação, o</w:t>
      </w:r>
      <w:r w:rsidRPr="00E70F55">
        <w:rPr>
          <w:sz w:val="20"/>
          <w:szCs w:val="20"/>
        </w:rPr>
        <w:t xml:space="preserve"> resultado positivo se dá pela formação de uma placa de </w:t>
      </w:r>
      <w:proofErr w:type="spellStart"/>
      <w:r w:rsidRPr="00E70F55">
        <w:rPr>
          <w:sz w:val="20"/>
          <w:szCs w:val="20"/>
        </w:rPr>
        <w:t>lise</w:t>
      </w:r>
      <w:proofErr w:type="spellEnd"/>
      <w:r w:rsidRPr="00E70F55">
        <w:rPr>
          <w:sz w:val="20"/>
          <w:szCs w:val="20"/>
        </w:rPr>
        <w:t>, ou seja, um local onde não é observado o crescimento bacteriano devido a ação lítica dos fagos.</w:t>
      </w:r>
    </w:p>
    <w:p w14:paraId="7B7FDA9D" w14:textId="77777777" w:rsidR="00D65B99" w:rsidRPr="0032135B" w:rsidRDefault="00D65B99" w:rsidP="00D65B99">
      <w:pPr>
        <w:pStyle w:val="ResumoExpandido"/>
        <w:rPr>
          <w:sz w:val="20"/>
          <w:szCs w:val="20"/>
        </w:rPr>
      </w:pPr>
      <w:r w:rsidRPr="00E70F55">
        <w:rPr>
          <w:b/>
          <w:bCs/>
          <w:sz w:val="20"/>
          <w:szCs w:val="20"/>
        </w:rPr>
        <w:t>Purificação</w:t>
      </w:r>
      <w:r>
        <w:rPr>
          <w:b/>
          <w:bCs/>
          <w:sz w:val="20"/>
          <w:szCs w:val="20"/>
        </w:rPr>
        <w:t xml:space="preserve">: </w:t>
      </w:r>
      <w:r w:rsidRPr="00E70F55">
        <w:rPr>
          <w:sz w:val="20"/>
          <w:szCs w:val="20"/>
        </w:rPr>
        <w:t xml:space="preserve">os fagos foram coletados das placas de lise com o auxílio de uma ponteira e colocados em tampão SM </w:t>
      </w:r>
      <w:r>
        <w:rPr>
          <w:sz w:val="20"/>
          <w:szCs w:val="20"/>
        </w:rPr>
        <w:t xml:space="preserve">(1M Tris-Cl pH 7.5, 5,8g </w:t>
      </w:r>
      <w:proofErr w:type="spellStart"/>
      <w:r>
        <w:rPr>
          <w:sz w:val="20"/>
          <w:szCs w:val="20"/>
        </w:rPr>
        <w:t>NaCl</w:t>
      </w:r>
      <w:proofErr w:type="spellEnd"/>
      <w:r>
        <w:rPr>
          <w:sz w:val="20"/>
          <w:szCs w:val="20"/>
        </w:rPr>
        <w:t>, 2g MgSO</w:t>
      </w:r>
      <w:r w:rsidRPr="00CD0746"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>x7H</w:t>
      </w:r>
      <w:r w:rsidRPr="00CD0746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O) para</w:t>
      </w:r>
      <w:r w:rsidRPr="00E70F55">
        <w:rPr>
          <w:sz w:val="20"/>
          <w:szCs w:val="20"/>
        </w:rPr>
        <w:t xml:space="preserve"> conservação.  A partir do coletado foram realizadas diluições sucessivas, as quais foram misturadas com uma cultura bacteriana e ao ágar para formação da segunda camada na placa de </w:t>
      </w:r>
      <w:proofErr w:type="spellStart"/>
      <w:r w:rsidRPr="00D65B99">
        <w:rPr>
          <w:i/>
          <w:iCs/>
          <w:sz w:val="20"/>
          <w:szCs w:val="20"/>
        </w:rPr>
        <w:t>petri</w:t>
      </w:r>
      <w:proofErr w:type="spellEnd"/>
      <w:r w:rsidRPr="00E70F55">
        <w:rPr>
          <w:sz w:val="20"/>
          <w:szCs w:val="20"/>
        </w:rPr>
        <w:t xml:space="preserve">. </w:t>
      </w:r>
      <w:r>
        <w:rPr>
          <w:sz w:val="20"/>
          <w:szCs w:val="20"/>
        </w:rPr>
        <w:t>Foram realizadas</w:t>
      </w:r>
      <w:r w:rsidRPr="00E70F55">
        <w:rPr>
          <w:sz w:val="20"/>
          <w:szCs w:val="20"/>
        </w:rPr>
        <w:t xml:space="preserve"> diluições seriadas </w:t>
      </w:r>
      <w:r>
        <w:rPr>
          <w:sz w:val="20"/>
          <w:szCs w:val="20"/>
        </w:rPr>
        <w:t>para</w:t>
      </w:r>
      <w:r w:rsidRPr="00E70F55">
        <w:rPr>
          <w:sz w:val="20"/>
          <w:szCs w:val="20"/>
        </w:rPr>
        <w:t xml:space="preserve"> encontrar a concentração onde as placas de lise podem ser observadas separadamente.</w:t>
      </w:r>
    </w:p>
    <w:p w14:paraId="72F2AD05" w14:textId="77777777" w:rsidR="00D65B99" w:rsidRPr="00E70F55" w:rsidRDefault="00D65B99" w:rsidP="00D65B99">
      <w:pPr>
        <w:pStyle w:val="ResumoExpandido"/>
        <w:rPr>
          <w:sz w:val="20"/>
          <w:szCs w:val="20"/>
        </w:rPr>
      </w:pPr>
    </w:p>
    <w:p w14:paraId="62E49FE9" w14:textId="77777777" w:rsidR="00D65B99" w:rsidRPr="00616411" w:rsidRDefault="00D65B99" w:rsidP="00D65B99">
      <w:pPr>
        <w:pStyle w:val="ResumoExpandido"/>
        <w:rPr>
          <w:b/>
          <w:bCs/>
          <w:sz w:val="20"/>
          <w:szCs w:val="20"/>
        </w:rPr>
      </w:pPr>
      <w:r w:rsidRPr="00E70F55">
        <w:rPr>
          <w:b/>
          <w:bCs/>
          <w:sz w:val="20"/>
          <w:szCs w:val="20"/>
        </w:rPr>
        <w:t>Colheita e Armazenamento</w:t>
      </w:r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processo semelhante a purificação, mas não ocorre as diluições, pois os fagos precisam ser coletados</w:t>
      </w:r>
      <w:r w:rsidRPr="00E70F55">
        <w:rPr>
          <w:sz w:val="20"/>
          <w:szCs w:val="20"/>
        </w:rPr>
        <w:t xml:space="preserve"> em altas concentrações.  Nessa etapa, é possível observar a ausência total de crescimento bacteriano ou apenas pequenas colônias de bactérias</w:t>
      </w:r>
      <w:r>
        <w:rPr>
          <w:sz w:val="20"/>
          <w:szCs w:val="20"/>
        </w:rPr>
        <w:t>. T</w:t>
      </w:r>
      <w:r w:rsidRPr="00E70F55">
        <w:rPr>
          <w:sz w:val="20"/>
          <w:szCs w:val="20"/>
        </w:rPr>
        <w:t>od</w:t>
      </w:r>
      <w:r>
        <w:rPr>
          <w:sz w:val="20"/>
          <w:szCs w:val="20"/>
        </w:rPr>
        <w:t>a</w:t>
      </w:r>
      <w:r w:rsidRPr="00E70F55">
        <w:rPr>
          <w:sz w:val="20"/>
          <w:szCs w:val="20"/>
        </w:rPr>
        <w:t xml:space="preserve"> a segunda camada de ágar foi coletada, centrifugada e filtrada para remoção do ágar e das células bacterianas. Os fagos coletados foram misturados em glicerol 50% e armazenados a -80° C para conservação a longo prazo e a 4° C para análises posteriores contra bactérias clínicas. </w:t>
      </w:r>
    </w:p>
    <w:p w14:paraId="77D79AAA" w14:textId="77777777" w:rsidR="00D65B99" w:rsidRPr="00E70F55" w:rsidRDefault="00D65B99" w:rsidP="00D65B99">
      <w:pPr>
        <w:pStyle w:val="ResumoExpandido"/>
        <w:rPr>
          <w:sz w:val="20"/>
          <w:szCs w:val="20"/>
        </w:rPr>
      </w:pPr>
    </w:p>
    <w:p w14:paraId="2555509D" w14:textId="77777777" w:rsidR="00D65B99" w:rsidRPr="000C2226" w:rsidRDefault="00D65B99" w:rsidP="00D65B99">
      <w:pPr>
        <w:pStyle w:val="ResumoExpandido"/>
        <w:rPr>
          <w:b/>
          <w:bCs/>
          <w:sz w:val="20"/>
          <w:szCs w:val="20"/>
        </w:rPr>
      </w:pPr>
      <w:r w:rsidRPr="00E70F55">
        <w:rPr>
          <w:b/>
          <w:bCs/>
          <w:sz w:val="20"/>
          <w:szCs w:val="20"/>
        </w:rPr>
        <w:t>Testagem em amostras de bactérias clínicas</w:t>
      </w:r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o</w:t>
      </w:r>
      <w:r w:rsidRPr="00E70F55">
        <w:rPr>
          <w:sz w:val="20"/>
          <w:szCs w:val="20"/>
        </w:rPr>
        <w:t>s fagos encontrados</w:t>
      </w:r>
      <w:r>
        <w:rPr>
          <w:sz w:val="20"/>
          <w:szCs w:val="20"/>
        </w:rPr>
        <w:t xml:space="preserve"> </w:t>
      </w:r>
      <w:r w:rsidRPr="00E70F55">
        <w:rPr>
          <w:sz w:val="20"/>
          <w:szCs w:val="20"/>
        </w:rPr>
        <w:t xml:space="preserve">foram sinalizados para que fosse realizada a testagem contra cepas multirresistentes da bactéria.  </w:t>
      </w:r>
    </w:p>
    <w:p w14:paraId="55025D64" w14:textId="77777777" w:rsidR="00D65B99" w:rsidRPr="00E70F55" w:rsidRDefault="00D65B99" w:rsidP="00D65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C5B4AC" w14:textId="77777777" w:rsidR="00D65B99" w:rsidRPr="00E70F55" w:rsidRDefault="00D65B99" w:rsidP="00D65B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70F55">
        <w:rPr>
          <w:rFonts w:ascii="Arial" w:hAnsi="Arial" w:cs="Arial"/>
          <w:b/>
          <w:sz w:val="20"/>
          <w:szCs w:val="20"/>
        </w:rPr>
        <w:t>3. RESULTADOS E DISCUSSÃO</w:t>
      </w:r>
    </w:p>
    <w:p w14:paraId="79B1012C" w14:textId="77777777" w:rsidR="00D65B99" w:rsidRPr="00775E6C" w:rsidRDefault="00D65B99" w:rsidP="00D65B99">
      <w:pPr>
        <w:pStyle w:val="ResumoExpandido"/>
        <w:ind w:firstLine="708"/>
        <w:rPr>
          <w:sz w:val="20"/>
          <w:szCs w:val="24"/>
        </w:rPr>
      </w:pPr>
      <w:r w:rsidRPr="00C60CB8">
        <w:rPr>
          <w:sz w:val="20"/>
          <w:szCs w:val="24"/>
        </w:rPr>
        <w:t>A verificação da presença dos fagos foi realizada e</w:t>
      </w:r>
      <w:r>
        <w:rPr>
          <w:sz w:val="20"/>
          <w:szCs w:val="24"/>
        </w:rPr>
        <w:t>m</w:t>
      </w:r>
      <w:r w:rsidRPr="00C60CB8">
        <w:rPr>
          <w:sz w:val="20"/>
          <w:szCs w:val="24"/>
        </w:rPr>
        <w:t xml:space="preserve"> 19 amostras ambientais, </w:t>
      </w:r>
      <w:r>
        <w:rPr>
          <w:sz w:val="20"/>
          <w:szCs w:val="24"/>
        </w:rPr>
        <w:t>d</w:t>
      </w:r>
      <w:r w:rsidRPr="00C60CB8">
        <w:rPr>
          <w:sz w:val="20"/>
          <w:szCs w:val="24"/>
        </w:rPr>
        <w:t>as quais</w:t>
      </w:r>
      <w:r>
        <w:rPr>
          <w:sz w:val="20"/>
          <w:szCs w:val="24"/>
        </w:rPr>
        <w:t xml:space="preserve"> 16 apresentaram resultados positivos.</w:t>
      </w:r>
      <w:r>
        <w:rPr>
          <w:sz w:val="20"/>
          <w:szCs w:val="20"/>
        </w:rPr>
        <w:t xml:space="preserve"> F</w:t>
      </w:r>
      <w:r w:rsidRPr="00E70F55">
        <w:rPr>
          <w:sz w:val="20"/>
          <w:szCs w:val="20"/>
        </w:rPr>
        <w:t xml:space="preserve">oi detectada a presença de bacteriófagos contra a </w:t>
      </w:r>
      <w:r w:rsidRPr="00E70F55">
        <w:rPr>
          <w:i/>
          <w:iCs/>
          <w:sz w:val="20"/>
          <w:szCs w:val="20"/>
        </w:rPr>
        <w:t>K</w:t>
      </w:r>
      <w:r>
        <w:rPr>
          <w:i/>
          <w:iCs/>
          <w:sz w:val="20"/>
          <w:szCs w:val="20"/>
        </w:rPr>
        <w:t>.</w:t>
      </w:r>
      <w:r w:rsidRPr="00E70F55">
        <w:rPr>
          <w:i/>
          <w:iCs/>
          <w:sz w:val="20"/>
          <w:szCs w:val="20"/>
        </w:rPr>
        <w:t xml:space="preserve"> </w:t>
      </w:r>
      <w:proofErr w:type="spellStart"/>
      <w:r w:rsidRPr="00E70F55">
        <w:rPr>
          <w:i/>
          <w:iCs/>
          <w:sz w:val="20"/>
          <w:szCs w:val="20"/>
        </w:rPr>
        <w:t>pneumoniae</w:t>
      </w:r>
      <w:proofErr w:type="spellEnd"/>
      <w:r w:rsidRPr="00FD1744">
        <w:rPr>
          <w:sz w:val="20"/>
          <w:szCs w:val="20"/>
        </w:rPr>
        <w:t xml:space="preserve"> </w:t>
      </w:r>
      <w:r w:rsidRPr="00E70F55">
        <w:rPr>
          <w:sz w:val="20"/>
          <w:szCs w:val="20"/>
        </w:rPr>
        <w:t>(</w:t>
      </w:r>
      <w:r>
        <w:rPr>
          <w:sz w:val="20"/>
          <w:szCs w:val="20"/>
        </w:rPr>
        <w:t xml:space="preserve">ATCC </w:t>
      </w:r>
      <w:r w:rsidRPr="00D94152">
        <w:rPr>
          <w:sz w:val="20"/>
          <w:szCs w:val="20"/>
        </w:rPr>
        <w:t>10031</w:t>
      </w:r>
      <w:r w:rsidRPr="00E70F55">
        <w:rPr>
          <w:sz w:val="20"/>
          <w:szCs w:val="20"/>
        </w:rPr>
        <w:t>)</w:t>
      </w:r>
      <w:r>
        <w:rPr>
          <w:sz w:val="20"/>
          <w:szCs w:val="20"/>
        </w:rPr>
        <w:t xml:space="preserve"> em</w:t>
      </w:r>
      <w:r w:rsidRPr="00E70F55">
        <w:rPr>
          <w:sz w:val="20"/>
          <w:szCs w:val="20"/>
        </w:rPr>
        <w:t xml:space="preserve"> todas as amostras de esgoto bruto e efluentes avaliadas</w:t>
      </w:r>
      <w:r w:rsidRPr="00E70F55">
        <w:rPr>
          <w:i/>
          <w:iCs/>
          <w:sz w:val="20"/>
          <w:szCs w:val="20"/>
        </w:rPr>
        <w:t>.</w:t>
      </w:r>
      <w:r>
        <w:rPr>
          <w:sz w:val="20"/>
          <w:szCs w:val="20"/>
        </w:rPr>
        <w:t xml:space="preserve"> P</w:t>
      </w:r>
      <w:r w:rsidRPr="00E70F55">
        <w:rPr>
          <w:sz w:val="20"/>
          <w:szCs w:val="20"/>
        </w:rPr>
        <w:t>ara algumas amostras a realização de várias rodadas de enriquecimento foram necessárias at</w:t>
      </w:r>
      <w:r>
        <w:rPr>
          <w:sz w:val="20"/>
          <w:szCs w:val="20"/>
        </w:rPr>
        <w:t>é</w:t>
      </w:r>
      <w:r w:rsidRPr="00E70F55">
        <w:rPr>
          <w:sz w:val="20"/>
          <w:szCs w:val="20"/>
        </w:rPr>
        <w:t xml:space="preserve"> uma atividade visivelmente expressiva dos fagos, prologando o tempo de execução do protocolo. Na </w:t>
      </w:r>
      <w:r>
        <w:rPr>
          <w:sz w:val="20"/>
          <w:szCs w:val="20"/>
        </w:rPr>
        <w:t>F</w:t>
      </w:r>
      <w:r w:rsidRPr="00E70F55">
        <w:rPr>
          <w:sz w:val="20"/>
          <w:szCs w:val="20"/>
        </w:rPr>
        <w:t xml:space="preserve">igura </w:t>
      </w:r>
      <w:r>
        <w:rPr>
          <w:sz w:val="20"/>
          <w:szCs w:val="20"/>
        </w:rPr>
        <w:t xml:space="preserve">1B </w:t>
      </w:r>
      <w:r w:rsidRPr="00E70F55">
        <w:rPr>
          <w:sz w:val="20"/>
          <w:szCs w:val="20"/>
        </w:rPr>
        <w:t xml:space="preserve">é possível observar que para as amostras do ciclo 2, apenas uma rodada de enriquecimento resultou em um crescimento singelo dos fagos na placa de </w:t>
      </w:r>
      <w:proofErr w:type="spellStart"/>
      <w:r w:rsidRPr="00E70F55">
        <w:rPr>
          <w:sz w:val="20"/>
          <w:szCs w:val="20"/>
        </w:rPr>
        <w:t>petri</w:t>
      </w:r>
      <w:proofErr w:type="spellEnd"/>
      <w:r w:rsidRPr="00E70F55">
        <w:rPr>
          <w:sz w:val="20"/>
          <w:szCs w:val="20"/>
        </w:rPr>
        <w:t>, sendo impossível a realização da coleta. Entretanto, o ensaio feito com mais uma rodada de enriquecimento</w:t>
      </w:r>
      <w:r>
        <w:rPr>
          <w:sz w:val="20"/>
          <w:szCs w:val="20"/>
        </w:rPr>
        <w:t xml:space="preserve"> (Figura 1C) </w:t>
      </w:r>
      <w:r w:rsidRPr="00E70F55">
        <w:rPr>
          <w:sz w:val="20"/>
          <w:szCs w:val="20"/>
        </w:rPr>
        <w:t>revelou placas de lise límpidas e visíveis, possibilitando extração dos fagos.</w:t>
      </w:r>
    </w:p>
    <w:p w14:paraId="1686FB42" w14:textId="77777777" w:rsidR="00D65B99" w:rsidRPr="00E70F55" w:rsidRDefault="00D65B99" w:rsidP="00D65B99">
      <w:pPr>
        <w:pStyle w:val="ResumoExpandido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390"/>
        <w:gridCol w:w="2390"/>
        <w:gridCol w:w="2389"/>
        <w:gridCol w:w="38"/>
      </w:tblGrid>
      <w:tr w:rsidR="00D65B99" w:rsidRPr="00E70F55" w14:paraId="6BE700B4" w14:textId="77777777" w:rsidTr="005E70BB">
        <w:trPr>
          <w:trHeight w:val="391"/>
        </w:trPr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1D9A2" w14:textId="77777777" w:rsidR="00D65B99" w:rsidRPr="00311B87" w:rsidRDefault="00D65B99" w:rsidP="005E70BB">
            <w:pPr>
              <w:pStyle w:val="ResumoExpandido"/>
              <w:jc w:val="center"/>
              <w:rPr>
                <w:szCs w:val="18"/>
              </w:rPr>
            </w:pPr>
            <w:r w:rsidRPr="00311B87">
              <w:rPr>
                <w:szCs w:val="18"/>
              </w:rPr>
              <w:t xml:space="preserve">Figura </w:t>
            </w:r>
            <w:r>
              <w:rPr>
                <w:szCs w:val="18"/>
              </w:rPr>
              <w:t>1</w:t>
            </w:r>
            <w:r w:rsidRPr="00311B87">
              <w:rPr>
                <w:szCs w:val="18"/>
              </w:rPr>
              <w:t>. Ensaios de Placas realizados nos ciclos 1(A); Ciclo 2 rodada 1 e 2 de enriquecimento (B e C,</w:t>
            </w:r>
            <w:r>
              <w:rPr>
                <w:szCs w:val="18"/>
              </w:rPr>
              <w:t xml:space="preserve"> </w:t>
            </w:r>
            <w:r w:rsidRPr="00311B87">
              <w:rPr>
                <w:szCs w:val="18"/>
              </w:rPr>
              <w:t>respectivamente) e ciclo 3 (D).</w:t>
            </w:r>
          </w:p>
        </w:tc>
      </w:tr>
      <w:tr w:rsidR="00D65B99" w:rsidRPr="00E70F55" w14:paraId="63EE2151" w14:textId="77777777" w:rsidTr="005E70BB">
        <w:trPr>
          <w:trHeight w:val="1976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2E5F7" w14:textId="77777777" w:rsidR="00D65B99" w:rsidRPr="00311B87" w:rsidRDefault="00D65B99" w:rsidP="005E70BB">
            <w:pPr>
              <w:pStyle w:val="ResumoExpandid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A </w:t>
            </w:r>
            <w:r w:rsidRPr="00311B87">
              <w:rPr>
                <w:noProof/>
                <w:szCs w:val="18"/>
              </w:rPr>
              <w:drawing>
                <wp:inline distT="0" distB="0" distL="0" distR="0" wp14:anchorId="08EEBAD4" wp14:editId="498204A6">
                  <wp:extent cx="1116000" cy="1116000"/>
                  <wp:effectExtent l="0" t="0" r="8255" b="8255"/>
                  <wp:docPr id="1040305851" name="Imagem 1040305851" descr="Uma imagem contendo bicicleta, metal, mesa, pequen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305851" name="Imagem 1040305851" descr="Uma imagem contendo bicicleta, metal, mesa, pequen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CEFDA" w14:textId="77777777" w:rsidR="00D65B99" w:rsidRPr="00311B87" w:rsidRDefault="00D65B99" w:rsidP="005E70BB">
            <w:pPr>
              <w:pStyle w:val="ResumoExpandido"/>
              <w:jc w:val="center"/>
              <w:rPr>
                <w:szCs w:val="18"/>
              </w:rPr>
            </w:pPr>
            <w:r>
              <w:rPr>
                <w:szCs w:val="18"/>
              </w:rPr>
              <w:t>B</w:t>
            </w:r>
            <w:r w:rsidRPr="00311B87">
              <w:rPr>
                <w:noProof/>
                <w:szCs w:val="18"/>
              </w:rPr>
              <w:t xml:space="preserve"> </w:t>
            </w:r>
            <w:r w:rsidRPr="00311B87">
              <w:rPr>
                <w:noProof/>
                <w:szCs w:val="18"/>
              </w:rPr>
              <w:drawing>
                <wp:inline distT="0" distB="0" distL="0" distR="0" wp14:anchorId="1BF91F89" wp14:editId="3F3B8C55">
                  <wp:extent cx="1080000" cy="1080000"/>
                  <wp:effectExtent l="0" t="0" r="6350" b="6350"/>
                  <wp:docPr id="1558435340" name="Imagem 1558435340" descr="Relógio de ponteiros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435340" name="Imagem 1558435340" descr="Relógio de ponteiros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18"/>
              </w:rPr>
              <w:t xml:space="preserve"> 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A3DBD" w14:textId="77777777" w:rsidR="00D65B99" w:rsidRPr="00311B87" w:rsidRDefault="00D65B99" w:rsidP="005E70BB">
            <w:pPr>
              <w:pStyle w:val="ResumoExpandido"/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t xml:space="preserve">C </w:t>
            </w:r>
            <w:r w:rsidRPr="00311B87">
              <w:rPr>
                <w:noProof/>
                <w:szCs w:val="18"/>
              </w:rPr>
              <w:drawing>
                <wp:inline distT="0" distB="0" distL="0" distR="0" wp14:anchorId="6A83703E" wp14:editId="4F75F2C8">
                  <wp:extent cx="1080000" cy="1080000"/>
                  <wp:effectExtent l="0" t="0" r="6350" b="6350"/>
                  <wp:docPr id="59971266" name="Imagem 59971266" descr="Uma imagem contendo mesa, frente, pequeno, mã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71266" name="Imagem 59971266" descr="Uma imagem contendo mesa, frente, pequeno, mã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F3057" w14:textId="77777777" w:rsidR="00D65B99" w:rsidRPr="00E70F55" w:rsidRDefault="00D65B99" w:rsidP="005E70BB">
            <w:pPr>
              <w:pStyle w:val="ResumoExpandid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D </w:t>
            </w:r>
            <w:r w:rsidRPr="00E70F55">
              <w:rPr>
                <w:noProof/>
                <w:sz w:val="20"/>
              </w:rPr>
              <w:drawing>
                <wp:inline distT="0" distB="0" distL="0" distR="0" wp14:anchorId="7AEFD0F3" wp14:editId="5D2FE280">
                  <wp:extent cx="1080000" cy="1080000"/>
                  <wp:effectExtent l="0" t="0" r="6350" b="6350"/>
                  <wp:docPr id="1066493096" name="Imagem 1066493096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B99" w:rsidRPr="00E70F55" w14:paraId="0D9A8288" w14:textId="77777777" w:rsidTr="005E70BB">
        <w:trPr>
          <w:gridAfter w:val="1"/>
          <w:wAfter w:w="38" w:type="dxa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81049B" w14:textId="77777777" w:rsidR="00D65B99" w:rsidRPr="00311B87" w:rsidRDefault="00D65B99" w:rsidP="005E70BB">
            <w:pPr>
              <w:pStyle w:val="ResumoExpandido"/>
              <w:jc w:val="center"/>
              <w:rPr>
                <w:szCs w:val="18"/>
              </w:rPr>
            </w:pPr>
            <w:r w:rsidRPr="00311B87">
              <w:rPr>
                <w:szCs w:val="18"/>
              </w:rPr>
              <w:t>Fonte: autor</w:t>
            </w:r>
            <w:r>
              <w:rPr>
                <w:szCs w:val="18"/>
              </w:rPr>
              <w:t>es</w:t>
            </w:r>
          </w:p>
        </w:tc>
      </w:tr>
    </w:tbl>
    <w:p w14:paraId="7B8E552C" w14:textId="77777777" w:rsidR="00D65B99" w:rsidRPr="00E70F55" w:rsidRDefault="00D65B99" w:rsidP="00D65B99">
      <w:pPr>
        <w:pStyle w:val="ResumoExpandido"/>
        <w:rPr>
          <w:sz w:val="20"/>
          <w:szCs w:val="20"/>
        </w:rPr>
      </w:pPr>
      <w:r w:rsidRPr="00E70F55">
        <w:rPr>
          <w:sz w:val="20"/>
          <w:szCs w:val="20"/>
        </w:rPr>
        <w:t xml:space="preserve"> </w:t>
      </w:r>
    </w:p>
    <w:p w14:paraId="1E667AEA" w14:textId="77777777" w:rsidR="00D65B99" w:rsidRDefault="00D65B99" w:rsidP="00D65B99">
      <w:pPr>
        <w:pStyle w:val="ResumoExpandido"/>
        <w:ind w:firstLine="708"/>
        <w:rPr>
          <w:sz w:val="20"/>
          <w:szCs w:val="20"/>
        </w:rPr>
      </w:pPr>
      <w:r w:rsidRPr="00E70F55">
        <w:rPr>
          <w:sz w:val="20"/>
          <w:szCs w:val="20"/>
        </w:rPr>
        <w:t xml:space="preserve">No processo de purificação, </w:t>
      </w:r>
      <w:r>
        <w:rPr>
          <w:sz w:val="20"/>
          <w:szCs w:val="20"/>
        </w:rPr>
        <w:t>é</w:t>
      </w:r>
      <w:r w:rsidRPr="00E70F55">
        <w:rPr>
          <w:sz w:val="20"/>
          <w:szCs w:val="20"/>
        </w:rPr>
        <w:t xml:space="preserve"> possível observar que as diluições mais altas continham apenas células bacterianas</w:t>
      </w:r>
      <w:r>
        <w:rPr>
          <w:sz w:val="20"/>
          <w:szCs w:val="20"/>
        </w:rPr>
        <w:t xml:space="preserve"> e</w:t>
      </w:r>
      <w:r w:rsidRPr="00E70F55">
        <w:rPr>
          <w:sz w:val="20"/>
          <w:szCs w:val="20"/>
        </w:rPr>
        <w:t xml:space="preserve"> diluições mais baixas apenas fagos, tornando crucial determinar o intervalo em que as placas de lise se formavam separadamente (Figura </w:t>
      </w:r>
      <w:r>
        <w:rPr>
          <w:sz w:val="20"/>
          <w:szCs w:val="20"/>
        </w:rPr>
        <w:t>2).</w:t>
      </w:r>
    </w:p>
    <w:p w14:paraId="5C861549" w14:textId="77777777" w:rsidR="00D65B99" w:rsidRPr="00E70F55" w:rsidRDefault="00D65B99" w:rsidP="00D65B99">
      <w:pPr>
        <w:pStyle w:val="ResumoExpandido"/>
        <w:ind w:firstLine="708"/>
        <w:rPr>
          <w:sz w:val="20"/>
          <w:szCs w:val="20"/>
        </w:rPr>
      </w:pPr>
    </w:p>
    <w:tbl>
      <w:tblPr>
        <w:tblStyle w:val="Tabelacomgrade"/>
        <w:tblW w:w="9498" w:type="dxa"/>
        <w:jc w:val="center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405"/>
        <w:gridCol w:w="2552"/>
        <w:gridCol w:w="2268"/>
        <w:gridCol w:w="2273"/>
      </w:tblGrid>
      <w:tr w:rsidR="00D65B99" w:rsidRPr="00E70F55" w14:paraId="47D321FC" w14:textId="77777777" w:rsidTr="005E70BB">
        <w:trPr>
          <w:trHeight w:val="280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B66CA" w14:textId="77777777" w:rsidR="00D65B99" w:rsidRPr="00775E6C" w:rsidRDefault="00D65B99" w:rsidP="005E7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E6C">
              <w:rPr>
                <w:rFonts w:ascii="Arial" w:hAnsi="Arial" w:cs="Arial"/>
                <w:sz w:val="18"/>
                <w:szCs w:val="18"/>
              </w:rPr>
              <w:t xml:space="preserve">Figura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75E6C">
              <w:rPr>
                <w:rFonts w:ascii="Arial" w:hAnsi="Arial" w:cs="Arial"/>
                <w:sz w:val="18"/>
                <w:szCs w:val="18"/>
              </w:rPr>
              <w:t xml:space="preserve">. purificação da amostra </w:t>
            </w:r>
            <w:r>
              <w:rPr>
                <w:rFonts w:ascii="Arial" w:hAnsi="Arial" w:cs="Arial"/>
                <w:sz w:val="18"/>
                <w:szCs w:val="18"/>
              </w:rPr>
              <w:t>NA e Feira</w:t>
            </w:r>
            <w:r w:rsidRPr="00775E6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65B99" w:rsidRPr="00E70F55" w14:paraId="2D7E7233" w14:textId="77777777" w:rsidTr="005E70BB">
        <w:trPr>
          <w:trHeight w:val="208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B88C8" w14:textId="77777777" w:rsidR="00D65B99" w:rsidRDefault="00D65B99" w:rsidP="005E70B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E70F55">
              <w:rPr>
                <w:rFonts w:ascii="Arial" w:hAnsi="Arial" w:cs="Arial"/>
              </w:rPr>
              <w:t>AN 10</w:t>
            </w:r>
            <w:r w:rsidRPr="00E70F55">
              <w:rPr>
                <w:rFonts w:ascii="Arial" w:hAnsi="Arial" w:cs="Arial"/>
                <w:vertAlign w:val="superscript"/>
              </w:rPr>
              <w:t>-3</w:t>
            </w:r>
          </w:p>
          <w:p w14:paraId="604B1807" w14:textId="77777777" w:rsidR="00D65B99" w:rsidRPr="00E70F55" w:rsidRDefault="00D65B99" w:rsidP="005E70BB">
            <w:pPr>
              <w:jc w:val="center"/>
              <w:rPr>
                <w:rFonts w:ascii="Arial" w:hAnsi="Arial" w:cs="Arial"/>
              </w:rPr>
            </w:pPr>
            <w:r w:rsidRPr="00E70F55">
              <w:rPr>
                <w:rFonts w:ascii="Arial" w:hAnsi="Arial" w:cs="Arial"/>
                <w:noProof/>
              </w:rPr>
              <w:drawing>
                <wp:inline distT="0" distB="0" distL="0" distR="0" wp14:anchorId="11113BD1" wp14:editId="5D30894E">
                  <wp:extent cx="1080000" cy="1080000"/>
                  <wp:effectExtent l="0" t="0" r="6350" b="6350"/>
                  <wp:docPr id="1782485586" name="Imagem 1782485586" descr="Recipiente de vidr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485586" name="Imagem 1782485586" descr="Recipiente de vidro&#10;&#10;Descrição gerada automa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5A74D" w14:textId="77777777" w:rsidR="00D65B99" w:rsidRDefault="00D65B99" w:rsidP="005E70BB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5E6C">
              <w:rPr>
                <w:rFonts w:ascii="Arial" w:hAnsi="Arial" w:cs="Arial"/>
                <w:sz w:val="18"/>
                <w:szCs w:val="18"/>
              </w:rPr>
              <w:t>AN 10</w:t>
            </w:r>
            <w:r w:rsidRPr="00775E6C">
              <w:rPr>
                <w:rFonts w:ascii="Arial" w:hAnsi="Arial" w:cs="Arial"/>
                <w:sz w:val="18"/>
                <w:szCs w:val="18"/>
                <w:vertAlign w:val="superscript"/>
              </w:rPr>
              <w:t>-4</w:t>
            </w:r>
          </w:p>
          <w:p w14:paraId="744FF7E1" w14:textId="77777777" w:rsidR="00D65B99" w:rsidRPr="00775E6C" w:rsidRDefault="00D65B99" w:rsidP="005E7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E6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A106102" wp14:editId="5166643D">
                  <wp:extent cx="1080000" cy="1080000"/>
                  <wp:effectExtent l="0" t="0" r="6350" b="6350"/>
                  <wp:docPr id="198388179" name="Imagem 198388179" descr="Uma imagem contendo escorredor, no interior, panelas, xíca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88179" name="Imagem 198388179" descr="Uma imagem contendo escorredor, no interior, panelas, xícara&#10;&#10;Descrição gerada automaticame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57ACF" w14:textId="77777777" w:rsidR="00D65B99" w:rsidRDefault="00D65B99" w:rsidP="005E70B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E70F55">
              <w:rPr>
                <w:rFonts w:ascii="Arial" w:hAnsi="Arial" w:cs="Arial"/>
              </w:rPr>
              <w:t>AN 10</w:t>
            </w:r>
            <w:r w:rsidRPr="00E70F55">
              <w:rPr>
                <w:rFonts w:ascii="Arial" w:hAnsi="Arial" w:cs="Arial"/>
                <w:vertAlign w:val="superscript"/>
              </w:rPr>
              <w:t>-5</w:t>
            </w:r>
          </w:p>
          <w:p w14:paraId="10A52BA6" w14:textId="77777777" w:rsidR="00D65B99" w:rsidRPr="00E70F55" w:rsidRDefault="00D65B99" w:rsidP="005E70BB">
            <w:pPr>
              <w:jc w:val="center"/>
              <w:rPr>
                <w:rFonts w:ascii="Arial" w:hAnsi="Arial" w:cs="Arial"/>
              </w:rPr>
            </w:pPr>
            <w:r w:rsidRPr="00E70F55">
              <w:rPr>
                <w:rFonts w:ascii="Arial" w:hAnsi="Arial" w:cs="Arial"/>
                <w:noProof/>
              </w:rPr>
              <w:drawing>
                <wp:inline distT="0" distB="0" distL="0" distR="0" wp14:anchorId="6020622F" wp14:editId="55637FBD">
                  <wp:extent cx="1080000" cy="1080000"/>
                  <wp:effectExtent l="0" t="0" r="6350" b="6350"/>
                  <wp:docPr id="633590600" name="Imagem 633590600" descr="Uma imagem contendo xícara, no interior, mesa, café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590600" name="Imagem 633590600" descr="Uma imagem contendo xícara, no interior, mesa, café&#10;&#10;Descrição gerada automaticament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8279E" w14:textId="77777777" w:rsidR="00D65B99" w:rsidRPr="006A5747" w:rsidRDefault="00D65B99" w:rsidP="005E70BB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Feira 10</w:t>
            </w:r>
            <w:r>
              <w:rPr>
                <w:rFonts w:ascii="Arial" w:hAnsi="Arial" w:cs="Arial"/>
                <w:vertAlign w:val="superscript"/>
              </w:rPr>
              <w:t>-5</w:t>
            </w:r>
          </w:p>
          <w:p w14:paraId="2164A79A" w14:textId="77777777" w:rsidR="00D65B99" w:rsidRPr="00E70F55" w:rsidRDefault="00D65B99" w:rsidP="005E7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5284741" wp14:editId="55428166">
                  <wp:extent cx="1080000" cy="1080000"/>
                  <wp:effectExtent l="0" t="0" r="6350" b="6350"/>
                  <wp:docPr id="1297820136" name="Imagem 3" descr="Placa de vidr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820136" name="Imagem 3" descr="Placa de vidr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B99" w:rsidRPr="00E70F55" w14:paraId="1856E200" w14:textId="77777777" w:rsidTr="005E70BB">
        <w:trPr>
          <w:trHeight w:val="273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FCB4B" w14:textId="77777777" w:rsidR="00D65B99" w:rsidRPr="00775E6C" w:rsidRDefault="00D65B99" w:rsidP="005E7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E6C">
              <w:rPr>
                <w:rFonts w:ascii="Arial" w:hAnsi="Arial" w:cs="Arial"/>
                <w:sz w:val="18"/>
                <w:szCs w:val="18"/>
              </w:rPr>
              <w:t>Fonte: autor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</w:p>
        </w:tc>
      </w:tr>
    </w:tbl>
    <w:p w14:paraId="5828E71A" w14:textId="77777777" w:rsidR="00D65B99" w:rsidRDefault="00D65B99" w:rsidP="00D65B99">
      <w:pPr>
        <w:pStyle w:val="ResumoExpandido"/>
        <w:ind w:firstLine="708"/>
        <w:rPr>
          <w:sz w:val="20"/>
          <w:szCs w:val="20"/>
        </w:rPr>
      </w:pPr>
      <w:r w:rsidRPr="00E70F55">
        <w:rPr>
          <w:sz w:val="20"/>
          <w:szCs w:val="20"/>
        </w:rPr>
        <w:t>Nenhuma das amostras avaliadas apresentou placas de lise com morfologias diferentes</w:t>
      </w:r>
      <w:r>
        <w:rPr>
          <w:sz w:val="20"/>
          <w:szCs w:val="20"/>
        </w:rPr>
        <w:t>.</w:t>
      </w:r>
      <w:r w:rsidRPr="00E70F55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Pr="00E70F55">
        <w:rPr>
          <w:sz w:val="20"/>
          <w:szCs w:val="20"/>
        </w:rPr>
        <w:t>odas as amostras</w:t>
      </w:r>
      <w:r>
        <w:rPr>
          <w:sz w:val="20"/>
          <w:szCs w:val="20"/>
        </w:rPr>
        <w:t xml:space="preserve"> com a presença de fagos </w:t>
      </w:r>
      <w:r w:rsidRPr="00E70F55">
        <w:rPr>
          <w:sz w:val="20"/>
          <w:szCs w:val="20"/>
        </w:rPr>
        <w:t>apresentaram placas de lise com tamanhos</w:t>
      </w:r>
      <w:r>
        <w:rPr>
          <w:sz w:val="20"/>
          <w:szCs w:val="20"/>
        </w:rPr>
        <w:t xml:space="preserve"> </w:t>
      </w:r>
      <w:r w:rsidRPr="00E70F55">
        <w:rPr>
          <w:sz w:val="20"/>
          <w:szCs w:val="20"/>
        </w:rPr>
        <w:t>uniformes, semelhante a amostra AN 10</w:t>
      </w:r>
      <w:r w:rsidRPr="00E70F55">
        <w:rPr>
          <w:sz w:val="20"/>
          <w:szCs w:val="20"/>
          <w:vertAlign w:val="superscript"/>
        </w:rPr>
        <w:t>-4</w:t>
      </w:r>
      <w:r>
        <w:rPr>
          <w:sz w:val="20"/>
          <w:szCs w:val="20"/>
        </w:rPr>
        <w:t xml:space="preserve">. Exceto a amostra “feira” que apresentou placas pequenas (Figura 2). Placas de lise com </w:t>
      </w:r>
      <w:r>
        <w:rPr>
          <w:sz w:val="20"/>
          <w:szCs w:val="20"/>
        </w:rPr>
        <w:lastRenderedPageBreak/>
        <w:t>tamanho diferentes podem indicar a presença de diferentes fagos em uma mesma amostra, fazendo necessário uma coleta e purificação para cada possível fago. A</w:t>
      </w:r>
      <w:r w:rsidRPr="008B5863">
        <w:rPr>
          <w:sz w:val="20"/>
          <w:szCs w:val="20"/>
        </w:rPr>
        <w:t xml:space="preserve"> </w:t>
      </w:r>
      <w:r>
        <w:rPr>
          <w:sz w:val="20"/>
          <w:szCs w:val="20"/>
        </w:rPr>
        <w:t>aparência</w:t>
      </w:r>
      <w:r w:rsidRPr="008B5863">
        <w:rPr>
          <w:sz w:val="20"/>
          <w:szCs w:val="20"/>
        </w:rPr>
        <w:t xml:space="preserve"> dessas regiões </w:t>
      </w:r>
      <w:r>
        <w:rPr>
          <w:sz w:val="20"/>
          <w:szCs w:val="20"/>
        </w:rPr>
        <w:t>infere</w:t>
      </w:r>
      <w:r w:rsidRPr="008B5863">
        <w:rPr>
          <w:sz w:val="20"/>
          <w:szCs w:val="20"/>
        </w:rPr>
        <w:t xml:space="preserve"> algumas propriedades dos bacteriófagos, como</w:t>
      </w:r>
      <w:r>
        <w:rPr>
          <w:sz w:val="20"/>
          <w:szCs w:val="20"/>
        </w:rPr>
        <w:t xml:space="preserve"> o</w:t>
      </w:r>
      <w:r w:rsidRPr="008B5863">
        <w:rPr>
          <w:sz w:val="20"/>
          <w:szCs w:val="20"/>
        </w:rPr>
        <w:t xml:space="preserve"> nível de adsorção</w:t>
      </w:r>
      <w:r>
        <w:rPr>
          <w:sz w:val="20"/>
          <w:szCs w:val="20"/>
        </w:rPr>
        <w:t>,</w:t>
      </w:r>
      <w:r w:rsidRPr="008B5863">
        <w:rPr>
          <w:sz w:val="20"/>
          <w:szCs w:val="20"/>
        </w:rPr>
        <w:t xml:space="preserve"> replicação</w:t>
      </w:r>
      <w:r>
        <w:rPr>
          <w:sz w:val="20"/>
          <w:szCs w:val="20"/>
        </w:rPr>
        <w:t xml:space="preserve"> ou a família ao qual o vírus pertence</w:t>
      </w:r>
      <w:r w:rsidRPr="00063C50"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>. Entretanto, a</w:t>
      </w:r>
      <w:r w:rsidRPr="008B5863">
        <w:rPr>
          <w:sz w:val="20"/>
          <w:szCs w:val="20"/>
        </w:rPr>
        <w:t xml:space="preserve"> literatura sugere que as morfologias das placas </w:t>
      </w:r>
      <w:r>
        <w:rPr>
          <w:sz w:val="20"/>
          <w:szCs w:val="20"/>
        </w:rPr>
        <w:t xml:space="preserve">também </w:t>
      </w:r>
      <w:r w:rsidRPr="008B5863">
        <w:rPr>
          <w:sz w:val="20"/>
          <w:szCs w:val="20"/>
        </w:rPr>
        <w:t>podem ser influenciadas por múltiplos fatores, como a natureza da bactéria hospedeira, o pH do meio</w:t>
      </w:r>
      <w:r>
        <w:rPr>
          <w:sz w:val="20"/>
          <w:szCs w:val="20"/>
        </w:rPr>
        <w:t xml:space="preserve"> e</w:t>
      </w:r>
      <w:r w:rsidRPr="008B58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r w:rsidRPr="008B5863">
        <w:rPr>
          <w:sz w:val="20"/>
          <w:szCs w:val="20"/>
        </w:rPr>
        <w:t xml:space="preserve">capacidade de difusão dos </w:t>
      </w:r>
      <w:proofErr w:type="spellStart"/>
      <w:r w:rsidRPr="008B5863">
        <w:rPr>
          <w:sz w:val="20"/>
          <w:szCs w:val="20"/>
        </w:rPr>
        <w:t>virions</w:t>
      </w:r>
      <w:proofErr w:type="spellEnd"/>
      <w:r w:rsidRPr="008B5863">
        <w:rPr>
          <w:sz w:val="20"/>
          <w:szCs w:val="20"/>
        </w:rPr>
        <w:t xml:space="preserve"> no ágar</w:t>
      </w:r>
      <w:r w:rsidRPr="00D66303">
        <w:rPr>
          <w:szCs w:val="18"/>
          <w:vertAlign w:val="superscript"/>
        </w:rPr>
        <w:t>9</w:t>
      </w:r>
      <w:r w:rsidRPr="008B5863">
        <w:rPr>
          <w:sz w:val="20"/>
          <w:szCs w:val="20"/>
        </w:rPr>
        <w:t>.</w:t>
      </w:r>
    </w:p>
    <w:p w14:paraId="3436A6C4" w14:textId="77777777" w:rsidR="00D65B99" w:rsidRPr="00E70F55" w:rsidRDefault="00D65B99" w:rsidP="00D65B99">
      <w:pPr>
        <w:pStyle w:val="ResumoExpandido"/>
        <w:rPr>
          <w:sz w:val="20"/>
          <w:szCs w:val="20"/>
        </w:rPr>
      </w:pPr>
    </w:p>
    <w:p w14:paraId="2FA86A45" w14:textId="77777777" w:rsidR="00D65B99" w:rsidRPr="00FD1744" w:rsidRDefault="00D65B99" w:rsidP="00D65B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70F55">
        <w:rPr>
          <w:rFonts w:ascii="Arial" w:hAnsi="Arial" w:cs="Arial"/>
          <w:b/>
          <w:sz w:val="20"/>
          <w:szCs w:val="20"/>
        </w:rPr>
        <w:t>4. CONSIDERAÇÕES FINAIS</w:t>
      </w:r>
    </w:p>
    <w:p w14:paraId="6B01B454" w14:textId="0653B0CC" w:rsidR="00D65B99" w:rsidRDefault="00D65B99" w:rsidP="00D65B99">
      <w:pPr>
        <w:pStyle w:val="ResumoExpandido"/>
        <w:ind w:firstLine="708"/>
        <w:rPr>
          <w:sz w:val="20"/>
          <w:szCs w:val="20"/>
        </w:rPr>
      </w:pPr>
      <w:r w:rsidRPr="00E70F55">
        <w:rPr>
          <w:sz w:val="20"/>
          <w:szCs w:val="20"/>
        </w:rPr>
        <w:t>Os bacteriófagos são considerados organismos onipresentes, encontrados especialmente em locais onde a vida bacteriana é abundante.  Assim,</w:t>
      </w:r>
      <w:r>
        <w:rPr>
          <w:sz w:val="20"/>
          <w:szCs w:val="20"/>
        </w:rPr>
        <w:t xml:space="preserve"> </w:t>
      </w:r>
      <w:r w:rsidRPr="00E70F55">
        <w:rPr>
          <w:sz w:val="20"/>
          <w:szCs w:val="20"/>
        </w:rPr>
        <w:t xml:space="preserve">fagos encontrados em águas residuais têm demonstrado grande potencial para o tratamento de bactérias do grupo ESKAPE. Esta perspectiva pode ser atribuída ao fato de que essas águas passaram pela utilização humana e possuem alto grau de contaminação fecal, </w:t>
      </w:r>
      <w:r>
        <w:rPr>
          <w:sz w:val="20"/>
          <w:szCs w:val="20"/>
        </w:rPr>
        <w:t>sugerindo</w:t>
      </w:r>
      <w:r w:rsidRPr="00E70F55">
        <w:rPr>
          <w:sz w:val="20"/>
          <w:szCs w:val="20"/>
        </w:rPr>
        <w:t xml:space="preserve"> a presença </w:t>
      </w:r>
      <w:r>
        <w:rPr>
          <w:sz w:val="20"/>
          <w:szCs w:val="20"/>
        </w:rPr>
        <w:t xml:space="preserve">de </w:t>
      </w:r>
      <w:r w:rsidRPr="00E70F55">
        <w:rPr>
          <w:sz w:val="20"/>
          <w:szCs w:val="20"/>
        </w:rPr>
        <w:t>fagos capazes de matar bactérias responsáveis por infecções em humanos</w:t>
      </w:r>
      <w:r w:rsidRPr="00EF13F7">
        <w:rPr>
          <w:rFonts w:ascii="Segoe UI" w:hAnsi="Segoe UI" w:cs="Segoe UI"/>
          <w:sz w:val="20"/>
          <w:szCs w:val="24"/>
          <w:shd w:val="clear" w:color="auto" w:fill="F7F7F8"/>
          <w:vertAlign w:val="superscript"/>
        </w:rPr>
        <w:t>10</w:t>
      </w:r>
      <w:r>
        <w:rPr>
          <w:rFonts w:ascii="Segoe UI" w:hAnsi="Segoe UI" w:cs="Segoe UI"/>
          <w:color w:val="000000" w:themeColor="text1"/>
          <w:shd w:val="clear" w:color="auto" w:fill="F7F7F8"/>
        </w:rPr>
        <w:t>.</w:t>
      </w:r>
      <w:r>
        <w:rPr>
          <w:sz w:val="20"/>
          <w:szCs w:val="20"/>
        </w:rPr>
        <w:t xml:space="preserve"> </w:t>
      </w:r>
    </w:p>
    <w:p w14:paraId="3B6FDD7F" w14:textId="77777777" w:rsidR="00D65B99" w:rsidRPr="00E70F55" w:rsidRDefault="00D65B99" w:rsidP="00D65B99">
      <w:pPr>
        <w:pStyle w:val="ResumoExpandido"/>
        <w:ind w:firstLine="708"/>
        <w:rPr>
          <w:sz w:val="20"/>
          <w:szCs w:val="20"/>
        </w:rPr>
      </w:pPr>
      <w:r w:rsidRPr="00E70F55">
        <w:rPr>
          <w:sz w:val="20"/>
          <w:szCs w:val="20"/>
        </w:rPr>
        <w:t>O uso de fagos pode ser uma alternativa eficaz aos antibióticos tradicionais, uma vez que os fagos podem infectar e destruir bactérias específicas sem prejudicar outras espécies benéfica</w:t>
      </w:r>
      <w:r>
        <w:rPr>
          <w:sz w:val="20"/>
          <w:szCs w:val="20"/>
          <w:vertAlign w:val="superscript"/>
        </w:rPr>
        <w:t>11</w:t>
      </w:r>
      <w:r w:rsidRPr="00E70F5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70F55">
        <w:rPr>
          <w:sz w:val="20"/>
          <w:szCs w:val="20"/>
        </w:rPr>
        <w:t xml:space="preserve">No entanto, ainda há alguns desafios a serem enfrentados, como a necessidade de uma grande variedade de fagos para combater diferentes tipos de bactérias e o risco de surgimento de resistência. </w:t>
      </w:r>
      <w:r>
        <w:rPr>
          <w:sz w:val="20"/>
          <w:szCs w:val="20"/>
        </w:rPr>
        <w:t>É</w:t>
      </w:r>
      <w:r w:rsidRPr="00E70F55">
        <w:rPr>
          <w:sz w:val="20"/>
          <w:szCs w:val="20"/>
        </w:rPr>
        <w:t xml:space="preserve"> fundamental continuar investindo em pesquisas para aprimorar a seleção e aplicação de fagos na terapia bacteriana, bem como para entender melhor a interação entre fagos e bactérias multirresistentes.</w:t>
      </w:r>
    </w:p>
    <w:p w14:paraId="4D912907" w14:textId="77777777" w:rsidR="00D65B99" w:rsidRPr="00E70F55" w:rsidRDefault="00D65B99" w:rsidP="00D65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DFCDDB" w14:textId="77777777" w:rsidR="00D65B99" w:rsidRPr="00F56948" w:rsidRDefault="00D65B99" w:rsidP="00D65B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70F55">
        <w:rPr>
          <w:rFonts w:ascii="Arial" w:hAnsi="Arial" w:cs="Arial"/>
          <w:b/>
          <w:sz w:val="20"/>
          <w:szCs w:val="20"/>
        </w:rPr>
        <w:t>Agradecimentos</w:t>
      </w:r>
    </w:p>
    <w:p w14:paraId="28E91C02" w14:textId="77777777" w:rsidR="00D65B99" w:rsidRPr="004A78D3" w:rsidRDefault="00D65B99" w:rsidP="00D65B99">
      <w:pPr>
        <w:spacing w:after="0" w:line="240" w:lineRule="auto"/>
        <w:ind w:firstLine="708"/>
        <w:jc w:val="both"/>
        <w:rPr>
          <w:rStyle w:val="ResumoExpandidoChar"/>
          <w:sz w:val="20"/>
          <w:szCs w:val="20"/>
        </w:rPr>
      </w:pPr>
      <w:r>
        <w:rPr>
          <w:rStyle w:val="ResumoExpandidoChar"/>
          <w:sz w:val="20"/>
          <w:szCs w:val="20"/>
        </w:rPr>
        <w:t>Ao</w:t>
      </w:r>
      <w:r w:rsidRPr="004A78D3">
        <w:rPr>
          <w:rStyle w:val="ResumoExpandidoChar"/>
          <w:sz w:val="20"/>
          <w:szCs w:val="20"/>
        </w:rPr>
        <w:t xml:space="preserve"> SENAI CIMATEC</w:t>
      </w:r>
      <w:r>
        <w:rPr>
          <w:rStyle w:val="ResumoExpandidoChar"/>
          <w:sz w:val="20"/>
          <w:szCs w:val="20"/>
        </w:rPr>
        <w:t>, por proporcionar</w:t>
      </w:r>
      <w:r w:rsidRPr="004A78D3">
        <w:rPr>
          <w:rStyle w:val="ResumoExpandidoChar"/>
          <w:sz w:val="20"/>
          <w:szCs w:val="20"/>
        </w:rPr>
        <w:t xml:space="preserve"> </w:t>
      </w:r>
      <w:r>
        <w:rPr>
          <w:rStyle w:val="ResumoExpandidoChar"/>
          <w:sz w:val="20"/>
          <w:szCs w:val="20"/>
        </w:rPr>
        <w:t>minha</w:t>
      </w:r>
      <w:r w:rsidRPr="004A78D3">
        <w:rPr>
          <w:rStyle w:val="ResumoExpandidoChar"/>
          <w:sz w:val="20"/>
          <w:szCs w:val="20"/>
        </w:rPr>
        <w:t xml:space="preserve"> iniciação científica, </w:t>
      </w:r>
      <w:r>
        <w:rPr>
          <w:rStyle w:val="ResumoExpandidoChar"/>
          <w:sz w:val="20"/>
          <w:szCs w:val="20"/>
        </w:rPr>
        <w:t>viabilizando</w:t>
      </w:r>
      <w:r w:rsidRPr="004A78D3">
        <w:rPr>
          <w:rStyle w:val="ResumoExpandidoChar"/>
          <w:sz w:val="20"/>
          <w:szCs w:val="20"/>
        </w:rPr>
        <w:t xml:space="preserve"> uma valiosa experiência </w:t>
      </w:r>
      <w:r>
        <w:rPr>
          <w:rStyle w:val="ResumoExpandidoChar"/>
          <w:sz w:val="20"/>
          <w:szCs w:val="20"/>
        </w:rPr>
        <w:t xml:space="preserve">e o desenvolvimento profissional e acadêmico. </w:t>
      </w:r>
    </w:p>
    <w:p w14:paraId="11E43D37" w14:textId="77777777" w:rsidR="00D65B99" w:rsidRPr="00E70F55" w:rsidRDefault="00D65B99" w:rsidP="00D65B99">
      <w:pPr>
        <w:spacing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ResumoExpandidoChar"/>
          <w:sz w:val="20"/>
          <w:szCs w:val="20"/>
        </w:rPr>
        <w:t xml:space="preserve">Á </w:t>
      </w:r>
      <w:r w:rsidRPr="00265B73">
        <w:rPr>
          <w:rStyle w:val="ResumoExpandidoChar"/>
          <w:sz w:val="20"/>
          <w:szCs w:val="20"/>
        </w:rPr>
        <w:t>minha orientadora, bem como aos meus colegas e mentores, pelo suporte, paciência e essencial apoio que me forneceram durante o projeto.</w:t>
      </w:r>
    </w:p>
    <w:p w14:paraId="7C0D1B34" w14:textId="77777777" w:rsidR="00D65B99" w:rsidRPr="00F24BD0" w:rsidRDefault="00D65B99" w:rsidP="00D65B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F24BD0">
        <w:rPr>
          <w:rFonts w:ascii="Arial" w:hAnsi="Arial" w:cs="Arial"/>
          <w:b/>
          <w:sz w:val="20"/>
          <w:szCs w:val="20"/>
          <w:lang w:val="en-US"/>
        </w:rPr>
        <w:t>5. REFERÊNCIAS</w:t>
      </w:r>
    </w:p>
    <w:p w14:paraId="1DD98AE3" w14:textId="77777777" w:rsidR="00D65B99" w:rsidRPr="00F24BD0" w:rsidRDefault="00D65B99" w:rsidP="00D65B9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3DB1D6A5" w14:textId="77777777" w:rsidR="00D65B99" w:rsidRPr="00F24BD0" w:rsidRDefault="00D65B99" w:rsidP="00D65B99">
      <w:pPr>
        <w:pStyle w:val="ResumoExpandido"/>
        <w:rPr>
          <w:color w:val="000000" w:themeColor="text1"/>
          <w:lang w:val="en-US"/>
        </w:rPr>
      </w:pPr>
      <w:r w:rsidRPr="00F24BD0">
        <w:rPr>
          <w:color w:val="000000" w:themeColor="text1"/>
          <w:vertAlign w:val="superscript"/>
          <w:lang w:val="en-US"/>
        </w:rPr>
        <w:t>1</w:t>
      </w:r>
      <w:r w:rsidRPr="00F24BD0">
        <w:rPr>
          <w:color w:val="000000" w:themeColor="text1"/>
          <w:lang w:val="en-US"/>
        </w:rPr>
        <w:t xml:space="preserve"> WITZANY, Guenther. </w:t>
      </w:r>
      <w:r w:rsidRPr="00F24BD0">
        <w:rPr>
          <w:b/>
          <w:bCs/>
          <w:color w:val="000000" w:themeColor="text1"/>
          <w:lang w:val="en-US"/>
        </w:rPr>
        <w:t>What Does Communication of Phages Mean?</w:t>
      </w:r>
      <w:r w:rsidRPr="00F24BD0">
        <w:rPr>
          <w:color w:val="000000" w:themeColor="text1"/>
          <w:lang w:val="en-US"/>
        </w:rPr>
        <w:t xml:space="preserve"> In: </w:t>
      </w:r>
      <w:proofErr w:type="spellStart"/>
      <w:r w:rsidRPr="00F24BD0">
        <w:rPr>
          <w:color w:val="000000" w:themeColor="text1"/>
          <w:lang w:val="en-US"/>
        </w:rPr>
        <w:t>Witzany</w:t>
      </w:r>
      <w:proofErr w:type="spellEnd"/>
      <w:r w:rsidRPr="00F24BD0">
        <w:rPr>
          <w:color w:val="000000" w:themeColor="text1"/>
          <w:lang w:val="en-US"/>
        </w:rPr>
        <w:t>, G. (eds) Biocommunication of Phages. Cham: Springer, 2020.</w:t>
      </w:r>
    </w:p>
    <w:p w14:paraId="6A8449E9" w14:textId="77777777" w:rsidR="00D65B99" w:rsidRPr="00F24BD0" w:rsidRDefault="00D65B99" w:rsidP="00D65B99">
      <w:pPr>
        <w:pStyle w:val="ResumoExpandido"/>
        <w:rPr>
          <w:color w:val="000000" w:themeColor="text1"/>
          <w:lang w:val="en-US"/>
        </w:rPr>
      </w:pPr>
      <w:r w:rsidRPr="00F24BD0">
        <w:rPr>
          <w:color w:val="000000" w:themeColor="text1"/>
          <w:vertAlign w:val="superscript"/>
          <w:lang w:val="en-US"/>
        </w:rPr>
        <w:t>2</w:t>
      </w:r>
      <w:r w:rsidRPr="00F24BD0">
        <w:rPr>
          <w:color w:val="000000" w:themeColor="text1"/>
          <w:lang w:val="en-US"/>
        </w:rPr>
        <w:t xml:space="preserve"> SHARMA, Shilpi. et al</w:t>
      </w:r>
      <w:r w:rsidRPr="00F24BD0">
        <w:rPr>
          <w:b/>
          <w:bCs/>
          <w:color w:val="000000" w:themeColor="text1"/>
          <w:lang w:val="en-US"/>
        </w:rPr>
        <w:t>. Isolation and characterization of a lytic bacteriophage against Pseudomonas aeruginosa.</w:t>
      </w:r>
      <w:r w:rsidRPr="00F24BD0">
        <w:rPr>
          <w:color w:val="000000" w:themeColor="text1"/>
          <w:lang w:val="en-US"/>
        </w:rPr>
        <w:t xml:space="preserve"> Scientific Reports, v. 11, n. 1, p. 19393, 2021. DOI: 10.1038/s41598-021-98628-w.</w:t>
      </w:r>
    </w:p>
    <w:p w14:paraId="701464E8" w14:textId="77777777" w:rsidR="00D65B99" w:rsidRPr="00F24BD0" w:rsidRDefault="00D65B99" w:rsidP="00D65B99">
      <w:pPr>
        <w:pStyle w:val="ResumoExpandido"/>
        <w:rPr>
          <w:color w:val="000000" w:themeColor="text1"/>
          <w:lang w:val="en-US"/>
        </w:rPr>
      </w:pPr>
      <w:r w:rsidRPr="00F24BD0">
        <w:rPr>
          <w:color w:val="000000" w:themeColor="text1"/>
          <w:vertAlign w:val="superscript"/>
          <w:lang w:val="en-US"/>
        </w:rPr>
        <w:t>3</w:t>
      </w:r>
      <w:r w:rsidRPr="00F24BD0">
        <w:rPr>
          <w:color w:val="000000" w:themeColor="text1"/>
          <w:lang w:val="en-US"/>
        </w:rPr>
        <w:t xml:space="preserve"> MALLICK, </w:t>
      </w:r>
      <w:proofErr w:type="spellStart"/>
      <w:r w:rsidRPr="00F24BD0">
        <w:rPr>
          <w:color w:val="000000" w:themeColor="text1"/>
          <w:lang w:val="en-US"/>
        </w:rPr>
        <w:t>Bishal</w:t>
      </w:r>
      <w:proofErr w:type="spellEnd"/>
      <w:r w:rsidRPr="00F24BD0">
        <w:rPr>
          <w:color w:val="000000" w:themeColor="text1"/>
          <w:lang w:val="en-US"/>
        </w:rPr>
        <w:t xml:space="preserve">. MONDAL, Pritam. et al. </w:t>
      </w:r>
      <w:r w:rsidRPr="00F24BD0">
        <w:rPr>
          <w:b/>
          <w:bCs/>
          <w:color w:val="000000" w:themeColor="text1"/>
          <w:lang w:val="en-US"/>
        </w:rPr>
        <w:t xml:space="preserve">Morphological, biological, and genomic characterization of a newly isolated lytic phage Sfk20 infecting Shigella </w:t>
      </w:r>
      <w:proofErr w:type="spellStart"/>
      <w:r w:rsidRPr="00F24BD0">
        <w:rPr>
          <w:b/>
          <w:bCs/>
          <w:color w:val="000000" w:themeColor="text1"/>
          <w:lang w:val="en-US"/>
        </w:rPr>
        <w:t>flexneri</w:t>
      </w:r>
      <w:proofErr w:type="spellEnd"/>
      <w:r w:rsidRPr="00F24BD0">
        <w:rPr>
          <w:b/>
          <w:bCs/>
          <w:color w:val="000000" w:themeColor="text1"/>
          <w:lang w:val="en-US"/>
        </w:rPr>
        <w:t xml:space="preserve">, Shigella </w:t>
      </w:r>
      <w:proofErr w:type="spellStart"/>
      <w:r w:rsidRPr="00F24BD0">
        <w:rPr>
          <w:b/>
          <w:bCs/>
          <w:color w:val="000000" w:themeColor="text1"/>
          <w:lang w:val="en-US"/>
        </w:rPr>
        <w:t>sonnei</w:t>
      </w:r>
      <w:proofErr w:type="spellEnd"/>
      <w:r w:rsidRPr="00F24BD0">
        <w:rPr>
          <w:b/>
          <w:bCs/>
          <w:color w:val="000000" w:themeColor="text1"/>
          <w:lang w:val="en-US"/>
        </w:rPr>
        <w:t xml:space="preserve">, and Shigella </w:t>
      </w:r>
      <w:proofErr w:type="spellStart"/>
      <w:r w:rsidRPr="00F24BD0">
        <w:rPr>
          <w:b/>
          <w:bCs/>
          <w:color w:val="000000" w:themeColor="text1"/>
          <w:lang w:val="en-US"/>
        </w:rPr>
        <w:t>dysenteriae</w:t>
      </w:r>
      <w:proofErr w:type="spellEnd"/>
      <w:r w:rsidRPr="00F24BD0">
        <w:rPr>
          <w:b/>
          <w:bCs/>
          <w:color w:val="000000" w:themeColor="text1"/>
          <w:lang w:val="en-US"/>
        </w:rPr>
        <w:t>.</w:t>
      </w:r>
      <w:r w:rsidRPr="00F24BD0">
        <w:rPr>
          <w:color w:val="000000" w:themeColor="text1"/>
          <w:lang w:val="en-US"/>
        </w:rPr>
        <w:t xml:space="preserve"> Scientific Reports, 11(1), 19313, 2021.</w:t>
      </w:r>
    </w:p>
    <w:p w14:paraId="596FFC62" w14:textId="77777777" w:rsidR="00D65B99" w:rsidRPr="00F24BD0" w:rsidRDefault="00D65B99" w:rsidP="00D65B99">
      <w:pPr>
        <w:pStyle w:val="ResumoExpandido"/>
        <w:rPr>
          <w:color w:val="000000" w:themeColor="text1"/>
          <w:lang w:val="en-US"/>
        </w:rPr>
      </w:pPr>
      <w:r w:rsidRPr="00F24BD0">
        <w:rPr>
          <w:color w:val="000000" w:themeColor="text1"/>
          <w:vertAlign w:val="superscript"/>
          <w:lang w:val="en-US"/>
        </w:rPr>
        <w:t xml:space="preserve">4 </w:t>
      </w:r>
      <w:r w:rsidRPr="00F24BD0">
        <w:rPr>
          <w:color w:val="000000" w:themeColor="text1"/>
          <w:lang w:val="en-US"/>
        </w:rPr>
        <w:t xml:space="preserve">LIN, D. M.; KOSKELLA, B.; LIN, H. C. </w:t>
      </w:r>
      <w:r w:rsidRPr="00F24BD0">
        <w:rPr>
          <w:b/>
          <w:bCs/>
          <w:color w:val="000000" w:themeColor="text1"/>
          <w:lang w:val="en-US"/>
        </w:rPr>
        <w:t>Phage therapy</w:t>
      </w:r>
      <w:r w:rsidRPr="00F24BD0">
        <w:rPr>
          <w:color w:val="000000" w:themeColor="text1"/>
          <w:lang w:val="en-US"/>
        </w:rPr>
        <w:t>: An alternative to antibiotics in the age of multi-drug resistance. World Journal of Gastrointestinal Pharmacology and Therapeutics, v. 8, n. 3, p. 162-173, 2017.</w:t>
      </w:r>
    </w:p>
    <w:p w14:paraId="38322F37" w14:textId="77777777" w:rsidR="00D65B99" w:rsidRPr="00752963" w:rsidRDefault="00D65B99" w:rsidP="00D65B99">
      <w:pPr>
        <w:pStyle w:val="ResumoExpandido"/>
        <w:rPr>
          <w:color w:val="000000" w:themeColor="text1"/>
        </w:rPr>
      </w:pPr>
      <w:r w:rsidRPr="00F24BD0">
        <w:rPr>
          <w:color w:val="000000" w:themeColor="text1"/>
          <w:vertAlign w:val="superscript"/>
          <w:lang w:val="en-US"/>
        </w:rPr>
        <w:t>5</w:t>
      </w:r>
      <w:r w:rsidRPr="00F24BD0">
        <w:rPr>
          <w:color w:val="000000" w:themeColor="text1"/>
          <w:lang w:val="en-US"/>
        </w:rPr>
        <w:t xml:space="preserve"> OECHSLIN, F. </w:t>
      </w:r>
      <w:r w:rsidRPr="00F24BD0">
        <w:rPr>
          <w:b/>
          <w:bCs/>
          <w:color w:val="000000" w:themeColor="text1"/>
          <w:lang w:val="en-US"/>
        </w:rPr>
        <w:t>Resistance development to bacteriophages occurring during bacteriophage therapy</w:t>
      </w:r>
      <w:r w:rsidRPr="00F24BD0">
        <w:rPr>
          <w:color w:val="000000" w:themeColor="text1"/>
          <w:lang w:val="en-US"/>
        </w:rPr>
        <w:t xml:space="preserve">. </w:t>
      </w:r>
      <w:proofErr w:type="spellStart"/>
      <w:r w:rsidRPr="00752963">
        <w:rPr>
          <w:color w:val="000000" w:themeColor="text1"/>
        </w:rPr>
        <w:t>Viruses</w:t>
      </w:r>
      <w:proofErr w:type="spellEnd"/>
      <w:r w:rsidRPr="00752963">
        <w:rPr>
          <w:color w:val="000000" w:themeColor="text1"/>
        </w:rPr>
        <w:t>, v. 10, n. 7, p. 351, 2018.</w:t>
      </w:r>
    </w:p>
    <w:p w14:paraId="784A353B" w14:textId="77777777" w:rsidR="00D65B99" w:rsidRPr="00F24BD0" w:rsidRDefault="00D65B99" w:rsidP="00D65B99">
      <w:pPr>
        <w:pStyle w:val="ResumoExpandido"/>
        <w:rPr>
          <w:color w:val="000000" w:themeColor="text1"/>
          <w:lang w:val="en-US"/>
        </w:rPr>
      </w:pPr>
      <w:r w:rsidRPr="00752963">
        <w:rPr>
          <w:color w:val="000000" w:themeColor="text1"/>
          <w:vertAlign w:val="superscript"/>
        </w:rPr>
        <w:t>6</w:t>
      </w:r>
      <w:r w:rsidRPr="00752963">
        <w:rPr>
          <w:color w:val="000000" w:themeColor="text1"/>
        </w:rPr>
        <w:t xml:space="preserve"> OLIVEIRA, Ana Clara Gonçalves. et al. </w:t>
      </w:r>
      <w:proofErr w:type="spellStart"/>
      <w:r w:rsidRPr="004C4BBD">
        <w:rPr>
          <w:b/>
          <w:bCs/>
          <w:color w:val="000000" w:themeColor="text1"/>
        </w:rPr>
        <w:t>Fagoterapia</w:t>
      </w:r>
      <w:proofErr w:type="spellEnd"/>
      <w:r w:rsidRPr="004C4BBD">
        <w:rPr>
          <w:b/>
          <w:bCs/>
          <w:color w:val="000000" w:themeColor="text1"/>
        </w:rPr>
        <w:t>:</w:t>
      </w:r>
      <w:r w:rsidRPr="00752963">
        <w:rPr>
          <w:color w:val="000000" w:themeColor="text1"/>
        </w:rPr>
        <w:t xml:space="preserve"> uma opção para o tratamento de infecções por bactérias multirresistentes. </w:t>
      </w:r>
      <w:proofErr w:type="spellStart"/>
      <w:r w:rsidRPr="00F24BD0">
        <w:rPr>
          <w:color w:val="000000" w:themeColor="text1"/>
          <w:lang w:val="en-US"/>
        </w:rPr>
        <w:t>Revista</w:t>
      </w:r>
      <w:proofErr w:type="spellEnd"/>
      <w:r w:rsidRPr="00F24BD0">
        <w:rPr>
          <w:color w:val="000000" w:themeColor="text1"/>
          <w:lang w:val="en-US"/>
        </w:rPr>
        <w:t xml:space="preserve"> de </w:t>
      </w:r>
      <w:proofErr w:type="spellStart"/>
      <w:r w:rsidRPr="00F24BD0">
        <w:rPr>
          <w:color w:val="000000" w:themeColor="text1"/>
          <w:lang w:val="en-US"/>
        </w:rPr>
        <w:t>Patologia</w:t>
      </w:r>
      <w:proofErr w:type="spellEnd"/>
      <w:r w:rsidRPr="00F24BD0">
        <w:rPr>
          <w:color w:val="000000" w:themeColor="text1"/>
          <w:lang w:val="en-US"/>
        </w:rPr>
        <w:t xml:space="preserve"> do Tocantins, v. 7, n. 1, p. 6-12, 2020.</w:t>
      </w:r>
    </w:p>
    <w:p w14:paraId="51E919FC" w14:textId="77777777" w:rsidR="00D65B99" w:rsidRPr="00FB0669" w:rsidRDefault="00D65B99" w:rsidP="00D65B99">
      <w:pPr>
        <w:pStyle w:val="ResumoExpandido"/>
        <w:rPr>
          <w:color w:val="000000" w:themeColor="text1"/>
          <w:szCs w:val="18"/>
        </w:rPr>
      </w:pPr>
      <w:r w:rsidRPr="00F24BD0">
        <w:rPr>
          <w:color w:val="000000" w:themeColor="text1"/>
          <w:vertAlign w:val="superscript"/>
          <w:lang w:val="en-US"/>
        </w:rPr>
        <w:t>7</w:t>
      </w:r>
      <w:r w:rsidRPr="00F24BD0">
        <w:rPr>
          <w:color w:val="000000" w:themeColor="text1"/>
          <w:lang w:val="en-US"/>
        </w:rPr>
        <w:t xml:space="preserve"> World Health Organization. </w:t>
      </w:r>
      <w:r w:rsidRPr="00F24BD0">
        <w:rPr>
          <w:b/>
          <w:bCs/>
          <w:color w:val="000000" w:themeColor="text1"/>
          <w:lang w:val="en-US"/>
        </w:rPr>
        <w:t xml:space="preserve">Global priority list of antibiotic-resistant bacteria to guide research, discovery, and </w:t>
      </w:r>
      <w:r w:rsidRPr="007435BD">
        <w:rPr>
          <w:b/>
          <w:bCs/>
          <w:color w:val="000000" w:themeColor="text1"/>
          <w:szCs w:val="18"/>
          <w:lang w:val="en-US"/>
        </w:rPr>
        <w:t>development of new antibiotics</w:t>
      </w:r>
      <w:r w:rsidRPr="007435BD">
        <w:rPr>
          <w:color w:val="000000" w:themeColor="text1"/>
          <w:szCs w:val="18"/>
          <w:lang w:val="en-US"/>
        </w:rPr>
        <w:t xml:space="preserve">. </w:t>
      </w:r>
      <w:r w:rsidRPr="00FB0669">
        <w:rPr>
          <w:color w:val="000000" w:themeColor="text1"/>
          <w:szCs w:val="18"/>
        </w:rPr>
        <w:t xml:space="preserve">Geneva, </w:t>
      </w:r>
      <w:proofErr w:type="spellStart"/>
      <w:r w:rsidRPr="00FB0669">
        <w:rPr>
          <w:color w:val="000000" w:themeColor="text1"/>
          <w:szCs w:val="18"/>
        </w:rPr>
        <w:t>Switzerland</w:t>
      </w:r>
      <w:proofErr w:type="spellEnd"/>
      <w:r w:rsidRPr="00FB0669">
        <w:rPr>
          <w:color w:val="000000" w:themeColor="text1"/>
          <w:szCs w:val="18"/>
        </w:rPr>
        <w:t xml:space="preserve">: World Health </w:t>
      </w:r>
      <w:proofErr w:type="spellStart"/>
      <w:r w:rsidRPr="00FB0669">
        <w:rPr>
          <w:color w:val="000000" w:themeColor="text1"/>
          <w:szCs w:val="18"/>
        </w:rPr>
        <w:t>Organization</w:t>
      </w:r>
      <w:proofErr w:type="spellEnd"/>
      <w:r w:rsidRPr="00FB0669">
        <w:rPr>
          <w:color w:val="000000" w:themeColor="text1"/>
          <w:szCs w:val="18"/>
        </w:rPr>
        <w:t>, 2017.</w:t>
      </w:r>
    </w:p>
    <w:p w14:paraId="7696B4A1" w14:textId="77777777" w:rsidR="00D65B99" w:rsidRPr="00FB0669" w:rsidRDefault="00D65B99" w:rsidP="00D65B99">
      <w:pPr>
        <w:pStyle w:val="ResumoExpandido"/>
        <w:rPr>
          <w:szCs w:val="18"/>
        </w:rPr>
      </w:pPr>
      <w:r w:rsidRPr="00FB0669">
        <w:rPr>
          <w:szCs w:val="18"/>
          <w:vertAlign w:val="superscript"/>
        </w:rPr>
        <w:t>8</w:t>
      </w:r>
      <w:r w:rsidRPr="00FB0669">
        <w:rPr>
          <w:szCs w:val="18"/>
        </w:rPr>
        <w:t xml:space="preserve"> </w:t>
      </w:r>
      <w:r w:rsidRPr="007435BD">
        <w:rPr>
          <w:szCs w:val="18"/>
          <w:shd w:val="clear" w:color="auto" w:fill="F9F9F9"/>
        </w:rPr>
        <w:t>SILVA, Fernanda Pereira da</w:t>
      </w:r>
      <w:r w:rsidRPr="007435BD">
        <w:rPr>
          <w:b/>
          <w:bCs/>
          <w:szCs w:val="18"/>
          <w:shd w:val="clear" w:color="auto" w:fill="F9F9F9"/>
        </w:rPr>
        <w:t xml:space="preserve">. Caracterização biológica e molecular de um bacteriófago específico para </w:t>
      </w:r>
      <w:proofErr w:type="spellStart"/>
      <w:r w:rsidRPr="00FC5B47">
        <w:rPr>
          <w:b/>
          <w:bCs/>
          <w:i/>
          <w:iCs/>
          <w:szCs w:val="18"/>
          <w:shd w:val="clear" w:color="auto" w:fill="F9F9F9"/>
        </w:rPr>
        <w:t>Xanthomonas</w:t>
      </w:r>
      <w:proofErr w:type="spellEnd"/>
      <w:r w:rsidRPr="00FC5B47">
        <w:rPr>
          <w:b/>
          <w:bCs/>
          <w:i/>
          <w:iCs/>
          <w:szCs w:val="18"/>
          <w:shd w:val="clear" w:color="auto" w:fill="F9F9F9"/>
        </w:rPr>
        <w:t xml:space="preserve"> </w:t>
      </w:r>
      <w:proofErr w:type="spellStart"/>
      <w:r w:rsidRPr="00FC5B47">
        <w:rPr>
          <w:b/>
          <w:bCs/>
          <w:i/>
          <w:iCs/>
          <w:szCs w:val="18"/>
          <w:shd w:val="clear" w:color="auto" w:fill="F9F9F9"/>
        </w:rPr>
        <w:t>campestris</w:t>
      </w:r>
      <w:proofErr w:type="spellEnd"/>
      <w:r w:rsidRPr="00FC5B47">
        <w:rPr>
          <w:b/>
          <w:bCs/>
          <w:i/>
          <w:iCs/>
          <w:szCs w:val="18"/>
          <w:shd w:val="clear" w:color="auto" w:fill="F9F9F9"/>
        </w:rPr>
        <w:t xml:space="preserve"> </w:t>
      </w:r>
      <w:proofErr w:type="spellStart"/>
      <w:r w:rsidRPr="00FC5B47">
        <w:rPr>
          <w:b/>
          <w:bCs/>
          <w:i/>
          <w:iCs/>
          <w:szCs w:val="18"/>
          <w:shd w:val="clear" w:color="auto" w:fill="F9F9F9"/>
        </w:rPr>
        <w:t>pv</w:t>
      </w:r>
      <w:proofErr w:type="spellEnd"/>
      <w:r w:rsidRPr="007435BD">
        <w:rPr>
          <w:b/>
          <w:bCs/>
          <w:szCs w:val="18"/>
          <w:shd w:val="clear" w:color="auto" w:fill="F9F9F9"/>
        </w:rPr>
        <w:t xml:space="preserve">. </w:t>
      </w:r>
      <w:proofErr w:type="spellStart"/>
      <w:r w:rsidRPr="007435BD">
        <w:rPr>
          <w:b/>
          <w:bCs/>
          <w:szCs w:val="18"/>
          <w:shd w:val="clear" w:color="auto" w:fill="F9F9F9"/>
        </w:rPr>
        <w:t>campestris</w:t>
      </w:r>
      <w:proofErr w:type="spellEnd"/>
      <w:r w:rsidRPr="007435BD">
        <w:rPr>
          <w:szCs w:val="18"/>
          <w:shd w:val="clear" w:color="auto" w:fill="F9F9F9"/>
        </w:rPr>
        <w:t>. 2015. 37 f. Dissertação (Mestrado em Microbiologia Agrícola) - Universidade Federal de Viçosa, Viçosa. 2015.</w:t>
      </w:r>
    </w:p>
    <w:p w14:paraId="0E9C8DC3" w14:textId="77777777" w:rsidR="00D65B99" w:rsidRPr="000733AA" w:rsidRDefault="00D65B99" w:rsidP="00D65B99">
      <w:pPr>
        <w:pStyle w:val="ResumoExpandido"/>
      </w:pPr>
      <w:r w:rsidRPr="000135FA">
        <w:rPr>
          <w:vertAlign w:val="superscript"/>
        </w:rPr>
        <w:t>9</w:t>
      </w:r>
      <w:r w:rsidRPr="000135FA">
        <w:t xml:space="preserve"> </w:t>
      </w:r>
      <w:r>
        <w:t xml:space="preserve">ROHELT, Nicole </w:t>
      </w:r>
      <w:proofErr w:type="spellStart"/>
      <w:r>
        <w:t>Mariele</w:t>
      </w:r>
      <w:proofErr w:type="spellEnd"/>
      <w:r>
        <w:t xml:space="preserve"> Santos. </w:t>
      </w:r>
      <w:r w:rsidRPr="004D74F8">
        <w:rPr>
          <w:b/>
          <w:bCs/>
          <w:szCs w:val="18"/>
          <w:shd w:val="clear" w:color="auto" w:fill="FFFFFF"/>
        </w:rPr>
        <w:t>Isolamento de bacteriófagos líticos ambientais e sua atividade contra bactérias multirresistentes de importância clínica</w:t>
      </w:r>
      <w:r>
        <w:rPr>
          <w:b/>
          <w:bCs/>
          <w:szCs w:val="18"/>
          <w:shd w:val="clear" w:color="auto" w:fill="FFFFFF"/>
        </w:rPr>
        <w:t xml:space="preserve">. </w:t>
      </w:r>
      <w:r>
        <w:rPr>
          <w:szCs w:val="18"/>
          <w:shd w:val="clear" w:color="auto" w:fill="FFFFFF"/>
        </w:rPr>
        <w:t xml:space="preserve">65f. Dissertação (Mestrado </w:t>
      </w:r>
      <w:proofErr w:type="spellStart"/>
      <w:r>
        <w:rPr>
          <w:szCs w:val="18"/>
          <w:shd w:val="clear" w:color="auto" w:fill="FFFFFF"/>
        </w:rPr>
        <w:t>Academico</w:t>
      </w:r>
      <w:proofErr w:type="spellEnd"/>
      <w:r>
        <w:rPr>
          <w:szCs w:val="18"/>
          <w:shd w:val="clear" w:color="auto" w:fill="FFFFFF"/>
        </w:rPr>
        <w:t xml:space="preserve"> em Virologia) – Universidade </w:t>
      </w:r>
      <w:proofErr w:type="spellStart"/>
      <w:r>
        <w:rPr>
          <w:szCs w:val="18"/>
          <w:shd w:val="clear" w:color="auto" w:fill="FFFFFF"/>
        </w:rPr>
        <w:t>Feevale</w:t>
      </w:r>
      <w:proofErr w:type="spellEnd"/>
      <w:r>
        <w:rPr>
          <w:szCs w:val="18"/>
          <w:shd w:val="clear" w:color="auto" w:fill="FFFFFF"/>
        </w:rPr>
        <w:t>, Novo Hamburgo, 2020.</w:t>
      </w:r>
    </w:p>
    <w:p w14:paraId="26F71C53" w14:textId="77777777" w:rsidR="00D65B99" w:rsidRPr="00D65B99" w:rsidRDefault="00D65B99" w:rsidP="00D65B99">
      <w:pPr>
        <w:pStyle w:val="ResumoExpandido"/>
        <w:rPr>
          <w:lang w:val="en-US"/>
        </w:rPr>
      </w:pPr>
      <w:r w:rsidRPr="000135FA">
        <w:rPr>
          <w:vertAlign w:val="superscript"/>
          <w:lang w:val="en-US"/>
        </w:rPr>
        <w:t>10</w:t>
      </w:r>
      <w:r>
        <w:rPr>
          <w:vertAlign w:val="superscript"/>
          <w:lang w:val="en-US"/>
        </w:rPr>
        <w:t xml:space="preserve"> </w:t>
      </w:r>
      <w:r w:rsidRPr="00D65B99">
        <w:rPr>
          <w:lang w:val="en-US"/>
        </w:rPr>
        <w:t xml:space="preserve">ZHANG, </w:t>
      </w:r>
      <w:proofErr w:type="spellStart"/>
      <w:r w:rsidRPr="00D65B99">
        <w:rPr>
          <w:lang w:val="en-US"/>
        </w:rPr>
        <w:t>Mengzhi</w:t>
      </w:r>
      <w:proofErr w:type="spellEnd"/>
      <w:r w:rsidRPr="00D65B99">
        <w:rPr>
          <w:lang w:val="en-US"/>
        </w:rPr>
        <w:t xml:space="preserve"> et al. </w:t>
      </w:r>
      <w:r w:rsidRPr="00D65B99">
        <w:rPr>
          <w:b/>
          <w:bCs/>
          <w:lang w:val="en-US"/>
        </w:rPr>
        <w:t>Diversity and abundance of antibiotic resistance genes and bacteriophages in the municipal wastewater treatment plants</w:t>
      </w:r>
      <w:r w:rsidRPr="00D65B99">
        <w:rPr>
          <w:lang w:val="en-US"/>
        </w:rPr>
        <w:t xml:space="preserve">: from influent to effluent. </w:t>
      </w:r>
      <w:proofErr w:type="spellStart"/>
      <w:r w:rsidRPr="00D65B99">
        <w:t>Water</w:t>
      </w:r>
      <w:proofErr w:type="spellEnd"/>
      <w:r w:rsidRPr="00D65B99">
        <w:t xml:space="preserve"> </w:t>
      </w:r>
      <w:proofErr w:type="spellStart"/>
      <w:r w:rsidRPr="00D65B99">
        <w:t>Research</w:t>
      </w:r>
      <w:proofErr w:type="spellEnd"/>
      <w:r w:rsidRPr="00D65B99">
        <w:t>, [</w:t>
      </w:r>
      <w:proofErr w:type="spellStart"/>
      <w:r w:rsidRPr="00D65B99">
        <w:t>s.l</w:t>
      </w:r>
      <w:proofErr w:type="spellEnd"/>
      <w:r w:rsidRPr="00D65B99">
        <w:t xml:space="preserve">.], v. 200, p. 117227, 2021. Disponível em: </w:t>
      </w:r>
      <w:hyperlink r:id="rId16" w:tgtFrame="_new" w:history="1">
        <w:r w:rsidRPr="00D65B99">
          <w:rPr>
            <w:rStyle w:val="Hyperlink"/>
            <w:color w:val="auto"/>
          </w:rPr>
          <w:t>https://doi.org/10.1016/j.watres.2021.117227</w:t>
        </w:r>
      </w:hyperlink>
      <w:r w:rsidRPr="00D65B99">
        <w:t xml:space="preserve">. </w:t>
      </w:r>
      <w:proofErr w:type="spellStart"/>
      <w:r w:rsidRPr="00D65B99">
        <w:rPr>
          <w:lang w:val="en-US"/>
        </w:rPr>
        <w:t>Acesso</w:t>
      </w:r>
      <w:proofErr w:type="spellEnd"/>
      <w:r w:rsidRPr="00D65B99">
        <w:rPr>
          <w:lang w:val="en-US"/>
        </w:rPr>
        <w:t xml:space="preserve"> </w:t>
      </w:r>
      <w:proofErr w:type="spellStart"/>
      <w:r w:rsidRPr="00D65B99">
        <w:rPr>
          <w:lang w:val="en-US"/>
        </w:rPr>
        <w:t>em</w:t>
      </w:r>
      <w:proofErr w:type="spellEnd"/>
      <w:r w:rsidRPr="00D65B99">
        <w:rPr>
          <w:lang w:val="en-US"/>
        </w:rPr>
        <w:t>: 06 abr. 2023.</w:t>
      </w:r>
    </w:p>
    <w:p w14:paraId="7106759D" w14:textId="77777777" w:rsidR="00D65B99" w:rsidRPr="00D65B99" w:rsidRDefault="00D65B99" w:rsidP="00D65B99">
      <w:pPr>
        <w:pStyle w:val="ResumoExpandido"/>
        <w:rPr>
          <w:lang w:val="en-US"/>
        </w:rPr>
      </w:pPr>
      <w:r w:rsidRPr="00D65B99">
        <w:rPr>
          <w:vertAlign w:val="superscript"/>
          <w:lang w:val="en-US"/>
        </w:rPr>
        <w:t>11</w:t>
      </w:r>
      <w:r w:rsidRPr="00D65B99">
        <w:rPr>
          <w:lang w:val="en-US"/>
        </w:rPr>
        <w:t xml:space="preserve"> YOSEF, Ido; MANOR, Miriam; KIRO, Ruth. </w:t>
      </w:r>
      <w:r w:rsidRPr="00D65B99">
        <w:rPr>
          <w:b/>
          <w:bCs/>
          <w:lang w:val="en-US"/>
        </w:rPr>
        <w:t>Bacteriophages:</w:t>
      </w:r>
      <w:r w:rsidRPr="00D65B99">
        <w:rPr>
          <w:lang w:val="en-US"/>
        </w:rPr>
        <w:t xml:space="preserve"> A potential future therapy for the rise of antibiotic-resistant infections. </w:t>
      </w:r>
      <w:r w:rsidRPr="00D65B99">
        <w:t>2019. PHAGE, [</w:t>
      </w:r>
      <w:proofErr w:type="spellStart"/>
      <w:r w:rsidRPr="00D65B99">
        <w:t>S.l</w:t>
      </w:r>
      <w:proofErr w:type="spellEnd"/>
      <w:r w:rsidRPr="00D65B99">
        <w:t xml:space="preserve">.], v. 1, n. 1, p. 15-20, 2020. Disponível em: </w:t>
      </w:r>
      <w:hyperlink r:id="rId17" w:tgtFrame="_new" w:history="1">
        <w:r w:rsidRPr="00D65B99">
          <w:rPr>
            <w:rStyle w:val="Hyperlink"/>
            <w:color w:val="auto"/>
          </w:rPr>
          <w:t>https://doi.org/10.1089/phage.2019.0006</w:t>
        </w:r>
      </w:hyperlink>
      <w:r w:rsidRPr="00D65B99">
        <w:t xml:space="preserve">. </w:t>
      </w:r>
      <w:proofErr w:type="spellStart"/>
      <w:r w:rsidRPr="00D65B99">
        <w:rPr>
          <w:lang w:val="en-US"/>
        </w:rPr>
        <w:t>Acesso</w:t>
      </w:r>
      <w:proofErr w:type="spellEnd"/>
      <w:r w:rsidRPr="00D65B99">
        <w:rPr>
          <w:lang w:val="en-US"/>
        </w:rPr>
        <w:t xml:space="preserve"> </w:t>
      </w:r>
      <w:proofErr w:type="spellStart"/>
      <w:r w:rsidRPr="00D65B99">
        <w:rPr>
          <w:lang w:val="en-US"/>
        </w:rPr>
        <w:t>em</w:t>
      </w:r>
      <w:proofErr w:type="spellEnd"/>
      <w:r w:rsidRPr="00D65B99">
        <w:rPr>
          <w:lang w:val="en-US"/>
        </w:rPr>
        <w:t>: 06 abr. 2023.</w:t>
      </w:r>
    </w:p>
    <w:p w14:paraId="1FDB0398" w14:textId="77777777" w:rsidR="00D65B99" w:rsidRPr="00752963" w:rsidRDefault="00D65B99" w:rsidP="00D65B99">
      <w:pPr>
        <w:pStyle w:val="ResumoExpandido"/>
        <w:rPr>
          <w:color w:val="000000" w:themeColor="text1"/>
        </w:rPr>
      </w:pPr>
      <w:r w:rsidRPr="00F24BD0">
        <w:rPr>
          <w:color w:val="000000" w:themeColor="text1"/>
          <w:vertAlign w:val="superscript"/>
          <w:lang w:val="en-US"/>
        </w:rPr>
        <w:t>1</w:t>
      </w:r>
      <w:r>
        <w:rPr>
          <w:color w:val="000000" w:themeColor="text1"/>
          <w:vertAlign w:val="superscript"/>
          <w:lang w:val="en-US"/>
        </w:rPr>
        <w:t xml:space="preserve">2 </w:t>
      </w:r>
      <w:r w:rsidRPr="000135FA">
        <w:rPr>
          <w:lang w:val="en-US"/>
        </w:rPr>
        <w:t xml:space="preserve">DENG, Ye </w:t>
      </w:r>
      <w:r w:rsidRPr="000135FA">
        <w:rPr>
          <w:i/>
          <w:iCs/>
          <w:lang w:val="en-US"/>
        </w:rPr>
        <w:t>et al</w:t>
      </w:r>
      <w:r w:rsidRPr="000135FA">
        <w:rPr>
          <w:lang w:val="en-US"/>
        </w:rPr>
        <w:t xml:space="preserve">. </w:t>
      </w:r>
      <w:r w:rsidRPr="000135FA">
        <w:rPr>
          <w:b/>
          <w:bCs/>
          <w:lang w:val="en-US"/>
        </w:rPr>
        <w:t xml:space="preserve">Bacteria </w:t>
      </w:r>
      <w:r w:rsidRPr="00F24BD0">
        <w:rPr>
          <w:b/>
          <w:bCs/>
          <w:color w:val="000000" w:themeColor="text1"/>
          <w:lang w:val="en-US"/>
        </w:rPr>
        <w:t>that make a meal of sulfonamide antibiotics:</w:t>
      </w:r>
      <w:r w:rsidRPr="00F24BD0">
        <w:rPr>
          <w:color w:val="000000" w:themeColor="text1"/>
          <w:lang w:val="en-US"/>
        </w:rPr>
        <w:t xml:space="preserve"> Blind spots and emerging opportunities. </w:t>
      </w:r>
      <w:r w:rsidRPr="00FB0669">
        <w:rPr>
          <w:color w:val="000000" w:themeColor="text1"/>
        </w:rPr>
        <w:t>Environmental Science &amp; Technology, [</w:t>
      </w:r>
      <w:proofErr w:type="spellStart"/>
      <w:r w:rsidRPr="00FB0669">
        <w:rPr>
          <w:color w:val="000000" w:themeColor="text1"/>
        </w:rPr>
        <w:t>s.l</w:t>
      </w:r>
      <w:proofErr w:type="spellEnd"/>
      <w:r w:rsidRPr="00FB0669">
        <w:rPr>
          <w:color w:val="000000" w:themeColor="text1"/>
        </w:rPr>
        <w:t xml:space="preserve">.], v. 52, n. 7, p. 3854–3868, 2018. Disponível em: </w:t>
      </w:r>
      <w:hyperlink r:id="rId18" w:tgtFrame="_new" w:history="1">
        <w:r w:rsidRPr="00FB0669">
          <w:rPr>
            <w:rStyle w:val="Hyperlink"/>
            <w:color w:val="000000" w:themeColor="text1"/>
          </w:rPr>
          <w:t>https://doi.org/10.1021/acs.est.7b06329</w:t>
        </w:r>
      </w:hyperlink>
      <w:r w:rsidRPr="00FB0669">
        <w:rPr>
          <w:color w:val="000000" w:themeColor="text1"/>
        </w:rPr>
        <w:t xml:space="preserve">. </w:t>
      </w:r>
      <w:r w:rsidRPr="00752963">
        <w:rPr>
          <w:color w:val="000000" w:themeColor="text1"/>
        </w:rPr>
        <w:t>Acesso em: 06 abr. 2023.</w:t>
      </w:r>
    </w:p>
    <w:p w14:paraId="3025A5ED" w14:textId="77777777" w:rsidR="00D65B99" w:rsidRPr="00F24BD0" w:rsidRDefault="00D65B99" w:rsidP="00D65B99">
      <w:pPr>
        <w:pStyle w:val="ResumoExpandido"/>
        <w:rPr>
          <w:color w:val="000000" w:themeColor="text1"/>
          <w:lang w:val="en-US"/>
        </w:rPr>
      </w:pPr>
      <w:r w:rsidRPr="00F24BD0">
        <w:rPr>
          <w:color w:val="000000" w:themeColor="text1"/>
          <w:vertAlign w:val="superscript"/>
          <w:lang w:val="en-US"/>
        </w:rPr>
        <w:t>1</w:t>
      </w:r>
      <w:r>
        <w:rPr>
          <w:color w:val="000000" w:themeColor="text1"/>
          <w:vertAlign w:val="superscript"/>
          <w:lang w:val="en-US"/>
        </w:rPr>
        <w:t xml:space="preserve">3 </w:t>
      </w:r>
      <w:r w:rsidRPr="00F24BD0">
        <w:rPr>
          <w:color w:val="000000" w:themeColor="text1"/>
          <w:lang w:val="en-US"/>
        </w:rPr>
        <w:t xml:space="preserve">GLONTI, Tea; PIRNAY, Jean-Paul. </w:t>
      </w:r>
      <w:r w:rsidRPr="00F24BD0">
        <w:rPr>
          <w:b/>
          <w:bCs/>
          <w:color w:val="000000" w:themeColor="text1"/>
          <w:lang w:val="en-US"/>
        </w:rPr>
        <w:t>In Vitro Techniques and Measurements of Phage Characteristics That Are Important for Phage Therapy Success.</w:t>
      </w:r>
      <w:r w:rsidRPr="00F24BD0">
        <w:rPr>
          <w:color w:val="000000" w:themeColor="text1"/>
          <w:lang w:val="en-US"/>
        </w:rPr>
        <w:t xml:space="preserve"> </w:t>
      </w:r>
      <w:proofErr w:type="spellStart"/>
      <w:r w:rsidRPr="00752963">
        <w:rPr>
          <w:color w:val="000000" w:themeColor="text1"/>
        </w:rPr>
        <w:t>Viruses</w:t>
      </w:r>
      <w:proofErr w:type="spellEnd"/>
      <w:r w:rsidRPr="00752963">
        <w:rPr>
          <w:color w:val="000000" w:themeColor="text1"/>
        </w:rPr>
        <w:t>, [</w:t>
      </w:r>
      <w:proofErr w:type="spellStart"/>
      <w:r w:rsidRPr="00752963">
        <w:rPr>
          <w:color w:val="000000" w:themeColor="text1"/>
        </w:rPr>
        <w:t>s.l</w:t>
      </w:r>
      <w:proofErr w:type="spellEnd"/>
      <w:r w:rsidRPr="00752963">
        <w:rPr>
          <w:color w:val="000000" w:themeColor="text1"/>
        </w:rPr>
        <w:t xml:space="preserve">.], v. 14, n. 7, p. 1490, 2022. Disponível em: </w:t>
      </w:r>
      <w:hyperlink r:id="rId19" w:tgtFrame="_new" w:history="1">
        <w:r w:rsidRPr="00752963">
          <w:rPr>
            <w:rStyle w:val="Hyperlink"/>
            <w:color w:val="000000" w:themeColor="text1"/>
          </w:rPr>
          <w:t>https://doi.org/10.3390/v14071490</w:t>
        </w:r>
      </w:hyperlink>
      <w:r w:rsidRPr="00752963">
        <w:rPr>
          <w:color w:val="000000" w:themeColor="text1"/>
        </w:rPr>
        <w:t xml:space="preserve">. </w:t>
      </w:r>
      <w:proofErr w:type="spellStart"/>
      <w:r w:rsidRPr="00F24BD0">
        <w:rPr>
          <w:color w:val="000000" w:themeColor="text1"/>
          <w:lang w:val="en-US"/>
        </w:rPr>
        <w:t>Acesso</w:t>
      </w:r>
      <w:proofErr w:type="spellEnd"/>
      <w:r w:rsidRPr="00F24BD0">
        <w:rPr>
          <w:color w:val="000000" w:themeColor="text1"/>
          <w:lang w:val="en-US"/>
        </w:rPr>
        <w:t xml:space="preserve"> </w:t>
      </w:r>
      <w:proofErr w:type="spellStart"/>
      <w:r w:rsidRPr="00F24BD0">
        <w:rPr>
          <w:color w:val="000000" w:themeColor="text1"/>
          <w:lang w:val="en-US"/>
        </w:rPr>
        <w:t>em</w:t>
      </w:r>
      <w:proofErr w:type="spellEnd"/>
      <w:r w:rsidRPr="00F24BD0">
        <w:rPr>
          <w:color w:val="000000" w:themeColor="text1"/>
          <w:lang w:val="en-US"/>
        </w:rPr>
        <w:t>: 06 abr. 2023.</w:t>
      </w:r>
    </w:p>
    <w:p w14:paraId="74D1BDC5" w14:textId="3E4E996B" w:rsidR="00F9724B" w:rsidRPr="00D65B99" w:rsidRDefault="00D65B99" w:rsidP="00D65B99">
      <w:pPr>
        <w:pStyle w:val="ResumoExpandido"/>
        <w:rPr>
          <w:color w:val="000000" w:themeColor="text1"/>
          <w:lang w:val="en-US"/>
        </w:rPr>
      </w:pPr>
      <w:r w:rsidRPr="00F24BD0">
        <w:rPr>
          <w:color w:val="000000" w:themeColor="text1"/>
          <w:vertAlign w:val="superscript"/>
          <w:lang w:val="en-US"/>
        </w:rPr>
        <w:t>14</w:t>
      </w:r>
      <w:r>
        <w:rPr>
          <w:color w:val="000000" w:themeColor="text1"/>
          <w:vertAlign w:val="superscript"/>
          <w:lang w:val="en-US"/>
        </w:rPr>
        <w:t xml:space="preserve"> </w:t>
      </w:r>
      <w:r w:rsidRPr="00F24BD0">
        <w:rPr>
          <w:color w:val="000000" w:themeColor="text1"/>
          <w:lang w:val="en-US"/>
        </w:rPr>
        <w:t xml:space="preserve">JI, Min </w:t>
      </w:r>
      <w:r w:rsidRPr="00F24BD0">
        <w:rPr>
          <w:i/>
          <w:iCs/>
          <w:color w:val="000000" w:themeColor="text1"/>
          <w:lang w:val="en-US"/>
        </w:rPr>
        <w:t>et al</w:t>
      </w:r>
      <w:r w:rsidRPr="00F24BD0">
        <w:rPr>
          <w:color w:val="000000" w:themeColor="text1"/>
          <w:lang w:val="en-US"/>
        </w:rPr>
        <w:t xml:space="preserve">. </w:t>
      </w:r>
      <w:r w:rsidRPr="00F24BD0">
        <w:rPr>
          <w:b/>
          <w:bCs/>
          <w:color w:val="000000" w:themeColor="text1"/>
          <w:lang w:val="en-US"/>
        </w:rPr>
        <w:t>Bacteriophages in water pollution control:</w:t>
      </w:r>
      <w:r w:rsidRPr="00F24BD0">
        <w:rPr>
          <w:color w:val="000000" w:themeColor="text1"/>
          <w:lang w:val="en-US"/>
        </w:rPr>
        <w:t xml:space="preserve"> Advantages and limitations. Frontiers in Environmental Science &amp; Engineering, [</w:t>
      </w:r>
      <w:proofErr w:type="spellStart"/>
      <w:r w:rsidRPr="00F24BD0">
        <w:rPr>
          <w:color w:val="000000" w:themeColor="text1"/>
          <w:lang w:val="en-US"/>
        </w:rPr>
        <w:t>s.l.</w:t>
      </w:r>
      <w:proofErr w:type="spellEnd"/>
      <w:r w:rsidRPr="00F24BD0">
        <w:rPr>
          <w:color w:val="000000" w:themeColor="text1"/>
          <w:lang w:val="en-US"/>
        </w:rPr>
        <w:t xml:space="preserve">], v. 15, p. 84, 2021. </w:t>
      </w:r>
      <w:proofErr w:type="spellStart"/>
      <w:r w:rsidRPr="00F24BD0">
        <w:rPr>
          <w:color w:val="000000" w:themeColor="text1"/>
          <w:lang w:val="en-US"/>
        </w:rPr>
        <w:t>Disponível</w:t>
      </w:r>
      <w:proofErr w:type="spellEnd"/>
      <w:r w:rsidRPr="00F24BD0">
        <w:rPr>
          <w:color w:val="000000" w:themeColor="text1"/>
          <w:lang w:val="en-US"/>
        </w:rPr>
        <w:t xml:space="preserve"> </w:t>
      </w:r>
      <w:proofErr w:type="spellStart"/>
      <w:r w:rsidRPr="00F24BD0">
        <w:rPr>
          <w:color w:val="000000" w:themeColor="text1"/>
          <w:lang w:val="en-US"/>
        </w:rPr>
        <w:t>em</w:t>
      </w:r>
      <w:proofErr w:type="spellEnd"/>
      <w:r w:rsidRPr="00F24BD0">
        <w:rPr>
          <w:color w:val="000000" w:themeColor="text1"/>
          <w:lang w:val="en-US"/>
        </w:rPr>
        <w:t>: &lt;</w:t>
      </w:r>
      <w:hyperlink r:id="rId20" w:tgtFrame="_new" w:history="1">
        <w:r w:rsidRPr="00F24BD0">
          <w:rPr>
            <w:rStyle w:val="Hyperlink"/>
            <w:color w:val="000000" w:themeColor="text1"/>
            <w:lang w:val="en-US"/>
          </w:rPr>
          <w:t>https://doi.org/10.1007/s11783-020-1296</w:t>
        </w:r>
      </w:hyperlink>
      <w:r w:rsidRPr="00F24BD0">
        <w:rPr>
          <w:color w:val="000000" w:themeColor="text1"/>
          <w:lang w:val="en-US"/>
        </w:rPr>
        <w:t xml:space="preserve">. </w:t>
      </w:r>
      <w:proofErr w:type="spellStart"/>
      <w:r w:rsidRPr="00F24BD0">
        <w:rPr>
          <w:color w:val="000000" w:themeColor="text1"/>
          <w:lang w:val="en-US"/>
        </w:rPr>
        <w:t>Acesso</w:t>
      </w:r>
      <w:proofErr w:type="spellEnd"/>
      <w:r w:rsidRPr="00F24BD0">
        <w:rPr>
          <w:color w:val="000000" w:themeColor="text1"/>
          <w:lang w:val="en-US"/>
        </w:rPr>
        <w:t xml:space="preserve"> </w:t>
      </w:r>
      <w:proofErr w:type="spellStart"/>
      <w:r w:rsidRPr="00F24BD0">
        <w:rPr>
          <w:color w:val="000000" w:themeColor="text1"/>
          <w:lang w:val="en-US"/>
        </w:rPr>
        <w:t>em</w:t>
      </w:r>
      <w:proofErr w:type="spellEnd"/>
      <w:r w:rsidRPr="00F24BD0">
        <w:rPr>
          <w:color w:val="000000" w:themeColor="text1"/>
          <w:lang w:val="en-US"/>
        </w:rPr>
        <w:t>: 06 abr. 2023</w:t>
      </w:r>
      <w:r>
        <w:rPr>
          <w:color w:val="000000" w:themeColor="text1"/>
          <w:lang w:val="en-US"/>
        </w:rPr>
        <w:t>.</w:t>
      </w:r>
    </w:p>
    <w:sectPr w:rsidR="00F9724B" w:rsidRPr="00D65B99">
      <w:headerReference w:type="default" r:id="rId21"/>
      <w:footerReference w:type="default" r:id="rId22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364D" w14:textId="77777777" w:rsidR="00353D93" w:rsidRDefault="00353D93">
      <w:pPr>
        <w:spacing w:after="0" w:line="240" w:lineRule="auto"/>
      </w:pPr>
      <w:r>
        <w:separator/>
      </w:r>
    </w:p>
  </w:endnote>
  <w:endnote w:type="continuationSeparator" w:id="0">
    <w:p w14:paraId="34607751" w14:textId="77777777" w:rsidR="00353D93" w:rsidRDefault="0035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F8F9" w14:textId="77777777" w:rsidR="00F972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ISSN 0805-2010 – </w:t>
    </w:r>
    <w:r>
      <w:rPr>
        <w:i/>
        <w:color w:val="000000"/>
      </w:rPr>
      <w:t>Anuário de resumos expandidos apresentados no VIII SAPCT - SENAI CIMATEC</w:t>
    </w:r>
    <w:r>
      <w:rPr>
        <w:color w:val="000000"/>
      </w:rPr>
      <w:t xml:space="preserve">, </w:t>
    </w:r>
    <w:r>
      <w:rPr>
        <w:b/>
        <w:color w:val="000000"/>
      </w:rPr>
      <w:t>2023</w:t>
    </w:r>
  </w:p>
  <w:p w14:paraId="7A4759D2" w14:textId="77777777" w:rsidR="00F9724B" w:rsidRDefault="00F972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1D99" w14:textId="77777777" w:rsidR="00353D93" w:rsidRDefault="00353D93">
      <w:pPr>
        <w:spacing w:after="0" w:line="240" w:lineRule="auto"/>
      </w:pPr>
      <w:r>
        <w:separator/>
      </w:r>
    </w:p>
  </w:footnote>
  <w:footnote w:type="continuationSeparator" w:id="0">
    <w:p w14:paraId="337DDC59" w14:textId="77777777" w:rsidR="00353D93" w:rsidRDefault="0035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4D6E" w14:textId="77777777" w:rsidR="00F972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59B46C1" wp14:editId="50F62C9C">
          <wp:simplePos x="0" y="0"/>
          <wp:positionH relativeFrom="column">
            <wp:posOffset>-666749</wp:posOffset>
          </wp:positionH>
          <wp:positionV relativeFrom="paragraph">
            <wp:posOffset>-450214</wp:posOffset>
          </wp:positionV>
          <wp:extent cx="7538720" cy="84010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840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24B"/>
    <w:rsid w:val="00153A5D"/>
    <w:rsid w:val="00353D93"/>
    <w:rsid w:val="005B5BC7"/>
    <w:rsid w:val="00D65B99"/>
    <w:rsid w:val="00EF42C3"/>
    <w:rsid w:val="00F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F22A"/>
  <w15:docId w15:val="{5EADD707-A177-4FDC-BD75-E9A504AD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FD"/>
  </w:style>
  <w:style w:type="paragraph" w:styleId="Rodap">
    <w:name w:val="footer"/>
    <w:basedOn w:val="Normal"/>
    <w:link w:val="Rodap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F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esumoExpandido">
    <w:name w:val="Resumo Expandido"/>
    <w:basedOn w:val="Normal"/>
    <w:link w:val="ResumoExpandidoChar"/>
    <w:qFormat/>
    <w:rsid w:val="00153A5D"/>
    <w:pPr>
      <w:spacing w:after="0" w:line="240" w:lineRule="auto"/>
      <w:jc w:val="both"/>
    </w:pPr>
    <w:rPr>
      <w:rFonts w:ascii="Arial" w:eastAsiaTheme="minorHAnsi" w:hAnsi="Arial" w:cs="Arial"/>
      <w:sz w:val="18"/>
      <w:lang w:eastAsia="en-US"/>
    </w:rPr>
  </w:style>
  <w:style w:type="character" w:customStyle="1" w:styleId="ResumoExpandidoChar">
    <w:name w:val="Resumo Expandido Char"/>
    <w:basedOn w:val="Fontepargpadro"/>
    <w:link w:val="ResumoExpandido"/>
    <w:rsid w:val="00153A5D"/>
    <w:rPr>
      <w:rFonts w:ascii="Arial" w:eastAsiaTheme="minorHAnsi" w:hAnsi="Arial" w:cs="Arial"/>
      <w:sz w:val="18"/>
      <w:lang w:eastAsia="en-US"/>
    </w:rPr>
  </w:style>
  <w:style w:type="table" w:styleId="Tabelacomgrade">
    <w:name w:val="Table Grid"/>
    <w:basedOn w:val="Tabelanormal"/>
    <w:uiPriority w:val="59"/>
    <w:rsid w:val="00D65B9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D65B9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doi.org/10.1021/acs.est.7b06329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danielle.nunes@fieb.org.br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doi.org/10.1089/phage.2019.00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watres.2021.117227" TargetMode="External"/><Relationship Id="rId20" Type="http://schemas.openxmlformats.org/officeDocument/2006/relationships/hyperlink" Target="https://doi.org/10.1007/s11783-020-129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doi.org/10.3390/v140714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dUlHGciTECDtlGO0UhS2pcGlHw==">AMUW2mVfPcOBumRl/VnPfq3oGeStWyK9oYEbCYVwjLqUAmNCNuh8n0sm4n0s/Rb7u5Lcaqs5uhyhyGfaJj+IqKiY7+4zKrryHjUx/1ocHu0ZLhepdW8XNGw=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2052</Words>
  <Characters>11081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Marins da Conceicao</dc:creator>
  <cp:lastModifiedBy>Carine Teixeira</cp:lastModifiedBy>
  <cp:revision>3</cp:revision>
  <dcterms:created xsi:type="dcterms:W3CDTF">2023-05-08T00:36:00Z</dcterms:created>
  <dcterms:modified xsi:type="dcterms:W3CDTF">2023-05-08T00:37:00Z</dcterms:modified>
</cp:coreProperties>
</file>