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C336" w14:textId="320523AB" w:rsidR="003F0C20" w:rsidRDefault="007C6420" w:rsidP="007C6420">
      <w:pPr>
        <w:spacing w:after="0" w:line="240" w:lineRule="auto"/>
        <w:jc w:val="center"/>
      </w:pPr>
      <w:bookmarkStart w:id="0" w:name="_Hlk131403827"/>
      <w:bookmarkEnd w:id="0"/>
      <w:r>
        <w:rPr>
          <w:rFonts w:ascii="Arial" w:hAnsi="Arial" w:cs="Arial"/>
          <w:b/>
        </w:rPr>
        <w:t>C</w:t>
      </w:r>
      <w:r w:rsidRPr="00386C1D">
        <w:rPr>
          <w:rFonts w:ascii="Arial" w:hAnsi="Arial" w:cs="Arial"/>
          <w:b/>
        </w:rPr>
        <w:t>ONTROLE DE QUALIDADE FÍSICO-QUÍMICO DE ÁCIDO CÍTRICO</w:t>
      </w:r>
      <w:r>
        <w:rPr>
          <w:rFonts w:ascii="Arial" w:hAnsi="Arial" w:cs="Arial"/>
          <w:b/>
        </w:rPr>
        <w:t xml:space="preserve"> MONOIDARATADO</w:t>
      </w:r>
      <w:r w:rsidRPr="00386C1D">
        <w:rPr>
          <w:rFonts w:ascii="Arial" w:hAnsi="Arial" w:cs="Arial"/>
          <w:b/>
        </w:rPr>
        <w:t xml:space="preserve">, COMO </w:t>
      </w:r>
      <w:r>
        <w:rPr>
          <w:rFonts w:ascii="Arial" w:hAnsi="Arial" w:cs="Arial"/>
          <w:b/>
        </w:rPr>
        <w:t>MATÉRIA-PRIMA</w:t>
      </w:r>
      <w:r w:rsidRPr="00386C1D">
        <w:rPr>
          <w:rFonts w:ascii="Arial" w:hAnsi="Arial" w:cs="Arial"/>
          <w:b/>
        </w:rPr>
        <w:t xml:space="preserve"> UTILIZAD</w:t>
      </w:r>
      <w:r>
        <w:rPr>
          <w:rFonts w:ascii="Arial" w:hAnsi="Arial" w:cs="Arial"/>
          <w:b/>
        </w:rPr>
        <w:t>A</w:t>
      </w:r>
      <w:r w:rsidRPr="00386C1D">
        <w:rPr>
          <w:rFonts w:ascii="Arial" w:hAnsi="Arial" w:cs="Arial"/>
          <w:b/>
        </w:rPr>
        <w:t xml:space="preserve"> NA PRODUÇÃO D</w:t>
      </w:r>
      <w:r>
        <w:rPr>
          <w:rFonts w:ascii="Arial" w:hAnsi="Arial" w:cs="Arial"/>
          <w:b/>
        </w:rPr>
        <w:t>O ADJUVANTES DE VACINAS</w:t>
      </w:r>
      <w:r w:rsidRPr="00386C1D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E</w:t>
      </w:r>
      <w:r w:rsidRPr="00386C1D">
        <w:rPr>
          <w:rFonts w:ascii="Arial" w:hAnsi="Arial" w:cs="Arial"/>
          <w:b/>
        </w:rPr>
        <w:t xml:space="preserve">NSAIOS DE PUREZA </w:t>
      </w:r>
      <w:r>
        <w:rPr>
          <w:rFonts w:ascii="Arial" w:hAnsi="Arial" w:cs="Arial"/>
          <w:b/>
        </w:rPr>
        <w:t>E DOSEAMENTO</w:t>
      </w:r>
    </w:p>
    <w:p w14:paraId="0E8FC337" w14:textId="77777777" w:rsidR="003F0C20" w:rsidRDefault="003F0C20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0E8FC338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4303155" w14:textId="77777777" w:rsidR="007C6420" w:rsidRPr="00A51019" w:rsidRDefault="007C6420" w:rsidP="007C6420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Lenisa Dandara dos Santos</w:t>
      </w:r>
      <w:r w:rsidRPr="00A51019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5101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Rodrigo Souza Conceição</w:t>
      </w:r>
      <w:r w:rsidRPr="0017446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</w:t>
      </w:r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Bruna Aparecida Souza Machado</w:t>
      </w:r>
      <w:r w:rsidRPr="00A51019">
        <w:rPr>
          <w:rFonts w:ascii="Arial" w:hAnsi="Arial" w:cs="Arial"/>
          <w:sz w:val="20"/>
          <w:szCs w:val="20"/>
          <w:vertAlign w:val="superscript"/>
        </w:rPr>
        <w:t>2</w:t>
      </w:r>
    </w:p>
    <w:p w14:paraId="07E15689" w14:textId="77777777" w:rsidR="007C6420" w:rsidRPr="00A51019" w:rsidRDefault="007C6420" w:rsidP="007C64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Bolsista; DTI – CNPq; lenisa.santos@fbter.org.br</w:t>
      </w:r>
    </w:p>
    <w:p w14:paraId="0E8FC33F" w14:textId="2AAF7649" w:rsidR="003F0C20" w:rsidRDefault="007C6420" w:rsidP="007C64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A51019"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brunam@fieb.org.br</w:t>
      </w:r>
    </w:p>
    <w:p w14:paraId="2859945B" w14:textId="77777777" w:rsidR="007C6420" w:rsidRPr="007C6420" w:rsidRDefault="007C6420" w:rsidP="007C64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8FC340" w14:textId="77777777" w:rsidR="003F0C20" w:rsidRDefault="007C642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0E8FC341" w14:textId="77777777" w:rsidR="003F0C20" w:rsidRDefault="003F0C2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336B3EC" w14:textId="33CCE597" w:rsidR="007C6420" w:rsidRDefault="007C6420">
      <w:pPr>
        <w:spacing w:after="0" w:line="240" w:lineRule="auto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 w:rsidRPr="006A243F">
        <w:rPr>
          <w:rFonts w:ascii="Arial" w:hAnsi="Arial" w:cs="Arial"/>
          <w:sz w:val="18"/>
          <w:szCs w:val="18"/>
        </w:rPr>
        <w:t>O SENAI CIMATEC, juntamente com a HDT</w:t>
      </w:r>
      <w:r>
        <w:rPr>
          <w:rFonts w:ascii="Arial" w:hAnsi="Arial" w:cs="Arial"/>
          <w:sz w:val="18"/>
          <w:szCs w:val="18"/>
        </w:rPr>
        <w:t xml:space="preserve"> B</w:t>
      </w:r>
      <w:r w:rsidRPr="006A243F">
        <w:rPr>
          <w:rFonts w:ascii="Arial" w:hAnsi="Arial" w:cs="Arial"/>
          <w:sz w:val="18"/>
          <w:szCs w:val="18"/>
        </w:rPr>
        <w:t>(EUA), vem atuando no desenvolvimento de uma nova candidata a vacina para a COVID-19, Vacina RNA MCTI CIMATEC HDT. O desenvolvimento deste produto inclui a transferência de uma nova plataforma tecnológica em saúde para o Brasil. Neste proces</w:t>
      </w:r>
      <w:r>
        <w:rPr>
          <w:rFonts w:ascii="Arial" w:hAnsi="Arial" w:cs="Arial"/>
          <w:sz w:val="18"/>
          <w:szCs w:val="18"/>
        </w:rPr>
        <w:t>s</w:t>
      </w:r>
      <w:r w:rsidRPr="006A243F">
        <w:rPr>
          <w:rFonts w:ascii="Arial" w:hAnsi="Arial" w:cs="Arial"/>
          <w:sz w:val="18"/>
          <w:szCs w:val="18"/>
        </w:rPr>
        <w:t xml:space="preserve">o de transferência destaca-se, além da etapa de produção, os ensaios para controle de qualidade do produto. </w:t>
      </w:r>
      <w:r w:rsidRPr="006A243F">
        <w:rPr>
          <w:rFonts w:ascii="Arial" w:hAnsi="Arial" w:cs="Arial"/>
          <w:bCs/>
          <w:sz w:val="18"/>
          <w:szCs w:val="18"/>
        </w:rPr>
        <w:t xml:space="preserve">Sendo assim, neste trabalho </w:t>
      </w:r>
      <w:r>
        <w:rPr>
          <w:rFonts w:ascii="Arial" w:hAnsi="Arial" w:cs="Arial"/>
          <w:bCs/>
          <w:sz w:val="18"/>
          <w:szCs w:val="18"/>
        </w:rPr>
        <w:t>são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A243F">
        <w:rPr>
          <w:rFonts w:ascii="Arial" w:hAnsi="Arial" w:cs="Arial"/>
          <w:bCs/>
          <w:sz w:val="18"/>
          <w:szCs w:val="18"/>
        </w:rPr>
        <w:t xml:space="preserve">apresentados resultados de ensaios de controle de qualidade físico-químicos do ácido cítrico </w:t>
      </w:r>
      <w:proofErr w:type="spellStart"/>
      <w:r w:rsidRPr="006A243F">
        <w:rPr>
          <w:rFonts w:ascii="Arial" w:hAnsi="Arial" w:cs="Arial"/>
          <w:bCs/>
          <w:sz w:val="18"/>
          <w:szCs w:val="18"/>
        </w:rPr>
        <w:t>monoidratado</w:t>
      </w:r>
      <w:proofErr w:type="spellEnd"/>
      <w:r w:rsidRPr="006A243F">
        <w:rPr>
          <w:rFonts w:ascii="Arial" w:hAnsi="Arial" w:cs="Arial"/>
          <w:bCs/>
          <w:sz w:val="18"/>
          <w:szCs w:val="18"/>
        </w:rPr>
        <w:t xml:space="preserve">, matéria-prima </w:t>
      </w:r>
      <w:r>
        <w:rPr>
          <w:rFonts w:ascii="Arial" w:hAnsi="Arial" w:cs="Arial"/>
          <w:bCs/>
          <w:sz w:val="18"/>
          <w:szCs w:val="18"/>
        </w:rPr>
        <w:t xml:space="preserve">da formulação LION, adjuvante da Vacina </w:t>
      </w:r>
      <w:r w:rsidRPr="006A243F">
        <w:rPr>
          <w:rFonts w:ascii="Arial" w:hAnsi="Arial" w:cs="Arial"/>
          <w:sz w:val="18"/>
          <w:szCs w:val="18"/>
        </w:rPr>
        <w:t>RNA MCTI CIMATEC HDT</w:t>
      </w:r>
      <w:r w:rsidRPr="006A243F">
        <w:rPr>
          <w:rFonts w:ascii="Arial" w:hAnsi="Arial" w:cs="Arial"/>
          <w:bCs/>
          <w:sz w:val="18"/>
          <w:szCs w:val="18"/>
        </w:rPr>
        <w:t xml:space="preserve">. As metodologias adotadas </w:t>
      </w:r>
      <w:r>
        <w:rPr>
          <w:rFonts w:ascii="Arial" w:hAnsi="Arial" w:cs="Arial"/>
          <w:bCs/>
          <w:sz w:val="18"/>
          <w:szCs w:val="18"/>
        </w:rPr>
        <w:t xml:space="preserve">derivam </w:t>
      </w:r>
      <w:r w:rsidRPr="006A243F">
        <w:rPr>
          <w:rFonts w:ascii="Arial" w:hAnsi="Arial" w:cs="Arial"/>
          <w:bCs/>
          <w:sz w:val="18"/>
          <w:szCs w:val="18"/>
        </w:rPr>
        <w:t>da Farmaco</w:t>
      </w:r>
      <w:r w:rsidRPr="006A243F">
        <w:rPr>
          <w:rFonts w:ascii="Arial" w:hAnsi="Arial" w:cs="Arial"/>
          <w:sz w:val="18"/>
          <w:szCs w:val="18"/>
        </w:rPr>
        <w:t xml:space="preserve">peia Brasileira </w:t>
      </w:r>
      <w:r w:rsidRPr="006A243F">
        <w:rPr>
          <w:rFonts w:ascii="Arial" w:hAnsi="Arial" w:cs="Arial"/>
          <w:bCs/>
          <w:sz w:val="18"/>
          <w:szCs w:val="18"/>
        </w:rPr>
        <w:t>6</w:t>
      </w:r>
      <w:r w:rsidRPr="006A243F">
        <w:rPr>
          <w:rFonts w:ascii="Arial" w:hAnsi="Arial" w:cs="Arial"/>
          <w:bCs/>
          <w:sz w:val="18"/>
          <w:szCs w:val="18"/>
          <w:vertAlign w:val="superscript"/>
        </w:rPr>
        <w:t>a</w:t>
      </w:r>
      <w:r w:rsidRPr="006A243F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6A243F">
        <w:rPr>
          <w:rFonts w:ascii="Arial" w:hAnsi="Arial" w:cs="Arial"/>
          <w:bCs/>
          <w:sz w:val="18"/>
          <w:szCs w:val="18"/>
        </w:rPr>
        <w:t>Edição</w:t>
      </w:r>
      <w:r w:rsidRPr="006A243F">
        <w:rPr>
          <w:rFonts w:ascii="Arial" w:hAnsi="Arial" w:cs="Arial"/>
          <w:sz w:val="18"/>
          <w:szCs w:val="18"/>
        </w:rPr>
        <w:t xml:space="preserve"> e os resultados obtidos estão de acordo com os critérios de aceitação estabelecidos. </w:t>
      </w:r>
      <w:r w:rsidRPr="006A243F">
        <w:rPr>
          <w:rFonts w:ascii="Arial" w:hAnsi="Arial" w:cs="Arial"/>
          <w:bCs/>
          <w:sz w:val="18"/>
          <w:szCs w:val="18"/>
        </w:rPr>
        <w:t>Espera-se que</w:t>
      </w:r>
      <w:r>
        <w:rPr>
          <w:rFonts w:ascii="Arial" w:hAnsi="Arial" w:cs="Arial"/>
          <w:bCs/>
          <w:sz w:val="18"/>
          <w:szCs w:val="18"/>
        </w:rPr>
        <w:t xml:space="preserve"> em um curto espaço de tempo</w:t>
      </w:r>
      <w:r w:rsidRPr="006A243F">
        <w:rPr>
          <w:rFonts w:ascii="Arial" w:hAnsi="Arial" w:cs="Arial"/>
          <w:bCs/>
          <w:sz w:val="18"/>
          <w:szCs w:val="18"/>
        </w:rPr>
        <w:t>, todos os ensaios de pureza previstos, para esta matéria-prima estejam padronizados e em consonância com os dados obtidos com a transferência de tecnologia para a produção da vacina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A243F">
        <w:rPr>
          <w:rFonts w:ascii="Arial" w:hAnsi="Arial" w:cs="Arial"/>
          <w:bCs/>
          <w:sz w:val="18"/>
          <w:szCs w:val="18"/>
        </w:rPr>
        <w:t>em território naciona</w:t>
      </w:r>
      <w:r w:rsidRPr="004F66FD">
        <w:rPr>
          <w:rFonts w:ascii="Arial" w:hAnsi="Arial" w:cs="Arial"/>
          <w:bCs/>
          <w:color w:val="2F5496" w:themeColor="accent1" w:themeShade="BF"/>
          <w:sz w:val="20"/>
          <w:szCs w:val="20"/>
        </w:rPr>
        <w:t>l</w:t>
      </w: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.</w:t>
      </w:r>
    </w:p>
    <w:p w14:paraId="0E8FC343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</w:rPr>
      </w:pPr>
    </w:p>
    <w:p w14:paraId="07F42062" w14:textId="77777777" w:rsidR="007C6420" w:rsidRPr="00B32097" w:rsidRDefault="007C6420" w:rsidP="007C6420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32097">
        <w:rPr>
          <w:rFonts w:ascii="Arial" w:hAnsi="Arial" w:cs="Arial"/>
          <w:sz w:val="18"/>
        </w:rPr>
        <w:t>Transferência de tecnologia, Vacinas, COVID-19, Tecnologias em saúde.</w:t>
      </w:r>
    </w:p>
    <w:p w14:paraId="0E8FC345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</w:rPr>
      </w:pPr>
    </w:p>
    <w:p w14:paraId="0E8FC346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0E8FC347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C2BA77A" w14:textId="77777777" w:rsidR="007C6420" w:rsidRPr="00B32097" w:rsidRDefault="007C6420" w:rsidP="007C642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B32097">
        <w:rPr>
          <w:rFonts w:ascii="Arial" w:hAnsi="Arial" w:cs="Arial"/>
          <w:sz w:val="20"/>
          <w:szCs w:val="20"/>
        </w:rPr>
        <w:t xml:space="preserve">Desde o primeiro caso confirmado no Brasil, em </w:t>
      </w:r>
      <w:r w:rsidRPr="00B32097">
        <w:rPr>
          <w:rFonts w:ascii="Arial" w:hAnsi="Arial" w:cs="Arial"/>
          <w:sz w:val="20"/>
          <w:szCs w:val="20"/>
          <w:shd w:val="clear" w:color="auto" w:fill="FFFFFF"/>
        </w:rPr>
        <w:t xml:space="preserve">fevereiro de 2020, já foram notificadas mais de 700 mil mortes por </w:t>
      </w:r>
      <w:r w:rsidRPr="00B32097">
        <w:rPr>
          <w:rFonts w:ascii="Arial" w:hAnsi="Arial" w:cs="Arial"/>
          <w:sz w:val="20"/>
          <w:szCs w:val="20"/>
        </w:rPr>
        <w:t>COVID-19 (</w:t>
      </w:r>
      <w:proofErr w:type="spellStart"/>
      <w:r w:rsidRPr="00B32097">
        <w:rPr>
          <w:rFonts w:ascii="Arial" w:hAnsi="Arial" w:cs="Arial"/>
          <w:sz w:val="20"/>
          <w:szCs w:val="20"/>
        </w:rPr>
        <w:t>Coronavirus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2097">
        <w:rPr>
          <w:rFonts w:ascii="Arial" w:hAnsi="Arial" w:cs="Arial"/>
          <w:sz w:val="20"/>
          <w:szCs w:val="20"/>
        </w:rPr>
        <w:t>Disease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 2019) no país. Diante deste cenário, o desenvolvimento de vacinas contra o novo </w:t>
      </w:r>
      <w:proofErr w:type="spellStart"/>
      <w:r w:rsidRPr="00B32097">
        <w:rPr>
          <w:rFonts w:ascii="Arial" w:hAnsi="Arial" w:cs="Arial"/>
          <w:sz w:val="20"/>
          <w:szCs w:val="20"/>
        </w:rPr>
        <w:t>coronavírus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 da síndrome respiratória aguda grave (SARS-CoV-2), seguras e eficazes se tornou essencial, para redução dos impactos sociais e econômicos causados pela COVID-19 e suas diversas complicações.</w:t>
      </w:r>
    </w:p>
    <w:p w14:paraId="21C4CF8F" w14:textId="77777777" w:rsidR="007C6420" w:rsidRPr="00B32097" w:rsidRDefault="007C6420" w:rsidP="007C642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2097">
        <w:rPr>
          <w:rFonts w:ascii="Arial" w:hAnsi="Arial" w:cs="Arial"/>
          <w:sz w:val="20"/>
          <w:szCs w:val="20"/>
        </w:rPr>
        <w:t xml:space="preserve">Neste sentido, o SENAI CIMATEC (Brasil) em parceria com a HDT </w:t>
      </w:r>
      <w:proofErr w:type="spellStart"/>
      <w:r>
        <w:rPr>
          <w:rFonts w:ascii="Arial" w:hAnsi="Arial" w:cs="Arial"/>
          <w:sz w:val="20"/>
          <w:szCs w:val="20"/>
        </w:rPr>
        <w:t>Bio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32097">
        <w:rPr>
          <w:rFonts w:ascii="Arial" w:hAnsi="Arial" w:cs="Arial"/>
          <w:sz w:val="20"/>
          <w:szCs w:val="20"/>
        </w:rPr>
        <w:t>(Estados Unidos), iniciou a sua participação no projeto de desenvolvimento de uma nova candidata a vacina para a COVID-19, a Vacina RNA MCTI CIMATEC HDT. O desenvolvimento deste potencial imunizante, baseia-se em uma nova plataforma tecnológica, que consiste na utilização de RNA replicante (</w:t>
      </w:r>
      <w:proofErr w:type="spellStart"/>
      <w:r w:rsidRPr="00B32097">
        <w:rPr>
          <w:rFonts w:ascii="Arial" w:hAnsi="Arial" w:cs="Arial"/>
          <w:sz w:val="20"/>
          <w:szCs w:val="20"/>
        </w:rPr>
        <w:t>repRNA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), incorporado em nanopartículas inorgânicas lipídicas (LION - do inglês </w:t>
      </w:r>
      <w:proofErr w:type="spellStart"/>
      <w:r w:rsidRPr="00EC5004">
        <w:rPr>
          <w:rFonts w:ascii="Arial" w:hAnsi="Arial" w:cs="Arial"/>
          <w:i/>
          <w:sz w:val="20"/>
          <w:szCs w:val="20"/>
        </w:rPr>
        <w:t>Lipid-Inorganic</w:t>
      </w:r>
      <w:proofErr w:type="spellEnd"/>
      <w:r w:rsidRPr="00EC50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5004">
        <w:rPr>
          <w:rFonts w:ascii="Arial" w:hAnsi="Arial" w:cs="Arial"/>
          <w:i/>
          <w:sz w:val="20"/>
          <w:szCs w:val="20"/>
        </w:rPr>
        <w:t>Nanoparticle</w:t>
      </w:r>
      <w:proofErr w:type="spellEnd"/>
      <w:r w:rsidRPr="00B32097">
        <w:rPr>
          <w:rFonts w:ascii="Arial" w:hAnsi="Arial" w:cs="Arial"/>
          <w:sz w:val="20"/>
          <w:szCs w:val="20"/>
        </w:rPr>
        <w:t>), responsável pelo transporte e estabilização d</w:t>
      </w:r>
      <w:r>
        <w:rPr>
          <w:rFonts w:ascii="Arial" w:hAnsi="Arial" w:cs="Arial"/>
          <w:sz w:val="20"/>
          <w:szCs w:val="20"/>
        </w:rPr>
        <w:t>o insumo farmacêutico ativo</w:t>
      </w:r>
      <w:r w:rsidRPr="00B32097">
        <w:rPr>
          <w:rFonts w:ascii="Arial" w:hAnsi="Arial" w:cs="Arial"/>
          <w:sz w:val="20"/>
          <w:szCs w:val="20"/>
        </w:rPr>
        <w:t>.</w:t>
      </w:r>
    </w:p>
    <w:p w14:paraId="165B6B6E" w14:textId="77777777" w:rsidR="007C6420" w:rsidRPr="00B32097" w:rsidRDefault="007C6420" w:rsidP="007C642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2097">
        <w:rPr>
          <w:rFonts w:ascii="Arial" w:hAnsi="Arial" w:cs="Arial"/>
          <w:sz w:val="20"/>
          <w:szCs w:val="20"/>
        </w:rPr>
        <w:t xml:space="preserve">A parceria entre HDT e SENAI CIMATEC inclui além da realização dos ensaios clínicos da Vacina RNA MCTI CIMATEC HDT, Fase I, II e III, a transferência de tecnologia para a sua produção em território nacional. Esta plataforma </w:t>
      </w:r>
      <w:proofErr w:type="spellStart"/>
      <w:r w:rsidRPr="00B32097">
        <w:rPr>
          <w:rFonts w:ascii="Arial" w:hAnsi="Arial" w:cs="Arial"/>
          <w:sz w:val="20"/>
          <w:szCs w:val="20"/>
        </w:rPr>
        <w:t>tecnologica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 ainda não é desenvolvida no Brasil e poderá ser utilizada, futuramente, para o desenvolvimento de vacinas contra outras doenças de interesse/preocupação no país. Além disso, as formulações líquidas estéreis adjuvantes da vacina (LION), poderão também serem utilizadas em outros segmentos, como imunoterapia ou para tratamento de doenças infecciosas e c</w:t>
      </w:r>
      <w:r>
        <w:rPr>
          <w:rFonts w:ascii="Arial" w:hAnsi="Arial" w:cs="Arial"/>
          <w:sz w:val="20"/>
          <w:szCs w:val="20"/>
        </w:rPr>
        <w:t>â</w:t>
      </w:r>
      <w:r w:rsidRPr="00B32097">
        <w:rPr>
          <w:rFonts w:ascii="Arial" w:hAnsi="Arial" w:cs="Arial"/>
          <w:sz w:val="20"/>
          <w:szCs w:val="20"/>
        </w:rPr>
        <w:t>ncer.</w:t>
      </w:r>
    </w:p>
    <w:p w14:paraId="4C352391" w14:textId="77777777" w:rsidR="007C6420" w:rsidRPr="00B32097" w:rsidRDefault="007C6420" w:rsidP="007C642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2097">
        <w:rPr>
          <w:rFonts w:ascii="Arial" w:hAnsi="Arial" w:cs="Arial"/>
          <w:sz w:val="20"/>
          <w:szCs w:val="20"/>
        </w:rPr>
        <w:t xml:space="preserve">O processo de </w:t>
      </w:r>
      <w:proofErr w:type="spellStart"/>
      <w:r w:rsidRPr="00B32097">
        <w:rPr>
          <w:rFonts w:ascii="Arial" w:hAnsi="Arial" w:cs="Arial"/>
          <w:sz w:val="20"/>
          <w:szCs w:val="20"/>
        </w:rPr>
        <w:t>Transferencia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 de tecnologia é a passagem de know-how, conhecimento técnico, ou tecnologia de uma organização para outra</w:t>
      </w:r>
      <w:r>
        <w:rPr>
          <w:rFonts w:ascii="Arial" w:hAnsi="Arial" w:cs="Arial"/>
          <w:sz w:val="20"/>
          <w:szCs w:val="20"/>
        </w:rPr>
        <w:t>.</w:t>
      </w:r>
      <w:r w:rsidRPr="00EC5004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B32097">
        <w:rPr>
          <w:rFonts w:ascii="Arial" w:hAnsi="Arial" w:cs="Arial"/>
          <w:sz w:val="20"/>
          <w:szCs w:val="20"/>
        </w:rPr>
        <w:t xml:space="preserve">O objetivo principal da transferência de tecnologia é alavancar a economia do estado e do país por meio de novos produtos e processos acessíveis </w:t>
      </w:r>
      <w:r>
        <w:rPr>
          <w:rFonts w:ascii="Arial" w:hAnsi="Arial" w:cs="Arial"/>
          <w:sz w:val="20"/>
          <w:szCs w:val="20"/>
        </w:rPr>
        <w:t>à população</w:t>
      </w:r>
      <w:r w:rsidRPr="00B32097">
        <w:rPr>
          <w:rFonts w:ascii="Arial" w:hAnsi="Arial" w:cs="Arial"/>
          <w:sz w:val="20"/>
          <w:szCs w:val="20"/>
        </w:rPr>
        <w:t>. No que</w:t>
      </w:r>
      <w:r>
        <w:rPr>
          <w:rFonts w:ascii="Arial" w:hAnsi="Arial" w:cs="Arial"/>
          <w:sz w:val="20"/>
          <w:szCs w:val="20"/>
        </w:rPr>
        <w:t xml:space="preserve"> </w:t>
      </w:r>
      <w:r w:rsidRPr="00B32097">
        <w:rPr>
          <w:rFonts w:ascii="Arial" w:hAnsi="Arial" w:cs="Arial"/>
          <w:sz w:val="20"/>
          <w:szCs w:val="20"/>
        </w:rPr>
        <w:t>compete aos processos voltados para a transferência de tecnologia para a produção local da Vacina RNA MCTI CIMATEC HDT, podemos destacar, para além da etapa de produção propriamente dita, os processos que compõem o controle de qualidade do produto. Por se tratar de um produto estéril, este deve ser fabricado em um ambiente minuci</w:t>
      </w:r>
      <w:r>
        <w:rPr>
          <w:rFonts w:ascii="Arial" w:hAnsi="Arial" w:cs="Arial"/>
          <w:sz w:val="20"/>
          <w:szCs w:val="20"/>
        </w:rPr>
        <w:t>o</w:t>
      </w:r>
      <w:r w:rsidRPr="00B32097">
        <w:rPr>
          <w:rFonts w:ascii="Arial" w:hAnsi="Arial" w:cs="Arial"/>
          <w:sz w:val="20"/>
          <w:szCs w:val="20"/>
        </w:rPr>
        <w:t xml:space="preserve">samente controlado (área limpa), seguindo as normas vigentes de boas práticas de fabricação (GMP) (RDC N 658 de 30 de março de 2022) de produtos farmacêuticos estéreis (Instrução Normativa </w:t>
      </w:r>
      <w:r>
        <w:rPr>
          <w:rFonts w:ascii="Arial" w:hAnsi="Arial" w:cs="Arial"/>
          <w:sz w:val="20"/>
          <w:szCs w:val="20"/>
        </w:rPr>
        <w:t>I</w:t>
      </w:r>
      <w:r w:rsidRPr="00B32097">
        <w:rPr>
          <w:rFonts w:ascii="Arial" w:hAnsi="Arial" w:cs="Arial"/>
          <w:sz w:val="20"/>
          <w:szCs w:val="20"/>
        </w:rPr>
        <w:t>N 35).</w:t>
      </w:r>
      <w:r w:rsidRPr="00EC5004">
        <w:rPr>
          <w:rFonts w:ascii="Arial" w:hAnsi="Arial" w:cs="Arial"/>
          <w:sz w:val="20"/>
          <w:szCs w:val="20"/>
          <w:vertAlign w:val="superscript"/>
        </w:rPr>
        <w:t>2</w:t>
      </w:r>
      <w:r w:rsidRPr="00B32097">
        <w:rPr>
          <w:rFonts w:ascii="Arial" w:hAnsi="Arial" w:cs="Arial"/>
          <w:sz w:val="20"/>
          <w:szCs w:val="20"/>
        </w:rPr>
        <w:t xml:space="preserve"> Além das condições do ambiente de produção e do produto final, per si, o controle de qualidade das matérias-primas utilizadas é crítico para o </w:t>
      </w:r>
      <w:proofErr w:type="spellStart"/>
      <w:r w:rsidRPr="00B32097">
        <w:rPr>
          <w:rFonts w:ascii="Arial" w:hAnsi="Arial" w:cs="Arial"/>
          <w:sz w:val="20"/>
          <w:szCs w:val="20"/>
        </w:rPr>
        <w:t>desenvovimento</w:t>
      </w:r>
      <w:proofErr w:type="spellEnd"/>
      <w:r w:rsidRPr="00B32097">
        <w:rPr>
          <w:rFonts w:ascii="Arial" w:hAnsi="Arial" w:cs="Arial"/>
          <w:sz w:val="20"/>
          <w:szCs w:val="20"/>
        </w:rPr>
        <w:t xml:space="preserve"> da vacina em questão, tendo em vista que estes exercem impacto direto sobre a qualidade, eficácia e segurança do produto.</w:t>
      </w:r>
    </w:p>
    <w:p w14:paraId="0E8FC349" w14:textId="2DA24BE4" w:rsidR="003F0C20" w:rsidRDefault="007C6420" w:rsidP="007C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32097">
        <w:rPr>
          <w:rFonts w:ascii="Arial" w:hAnsi="Arial" w:cs="Arial"/>
          <w:bCs/>
          <w:sz w:val="20"/>
          <w:szCs w:val="20"/>
        </w:rPr>
        <w:t xml:space="preserve">Sendo assim, este trabalho tem como objetivo, demonstrar os ensaios de controle de qualidade físico-químicos do ácido cítrico </w:t>
      </w:r>
      <w:proofErr w:type="spellStart"/>
      <w:r w:rsidRPr="00B32097">
        <w:rPr>
          <w:rFonts w:ascii="Arial" w:hAnsi="Arial" w:cs="Arial"/>
          <w:bCs/>
          <w:sz w:val="20"/>
          <w:szCs w:val="20"/>
        </w:rPr>
        <w:t>monoidratado</w:t>
      </w:r>
      <w:proofErr w:type="spellEnd"/>
      <w:r w:rsidRPr="00B32097">
        <w:rPr>
          <w:rFonts w:ascii="Arial" w:hAnsi="Arial" w:cs="Arial"/>
          <w:bCs/>
          <w:sz w:val="20"/>
          <w:szCs w:val="20"/>
        </w:rPr>
        <w:t>, como matéria-prima para a produção do adjuvante (LION) utilizado para a produção da Vacina RNA MCTI CIMATEC HDT, em um contexto de transferência de uma nova plataforma tecnológica em saúde, desenvolvida pela HDT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Bio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B32097">
        <w:rPr>
          <w:rFonts w:ascii="Arial" w:hAnsi="Arial" w:cs="Arial"/>
          <w:bCs/>
          <w:sz w:val="20"/>
          <w:szCs w:val="20"/>
        </w:rPr>
        <w:t xml:space="preserve">(Estados Unidos), para </w:t>
      </w:r>
      <w:r>
        <w:rPr>
          <w:rFonts w:ascii="Arial" w:hAnsi="Arial" w:cs="Arial"/>
          <w:bCs/>
          <w:sz w:val="20"/>
          <w:szCs w:val="20"/>
        </w:rPr>
        <w:t xml:space="preserve">o </w:t>
      </w:r>
      <w:r w:rsidRPr="00B32097">
        <w:rPr>
          <w:rFonts w:ascii="Arial" w:hAnsi="Arial" w:cs="Arial"/>
          <w:bCs/>
          <w:sz w:val="20"/>
          <w:szCs w:val="20"/>
        </w:rPr>
        <w:t>território nacional.</w:t>
      </w:r>
    </w:p>
    <w:p w14:paraId="0E8FC34A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8FC34B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0E8FC34C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F873BA" w14:textId="77777777" w:rsidR="007C6420" w:rsidRDefault="007C6420" w:rsidP="007C6420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6A243F">
        <w:rPr>
          <w:rFonts w:ascii="Arial" w:hAnsi="Arial" w:cs="Arial"/>
          <w:color w:val="auto"/>
          <w:sz w:val="20"/>
          <w:szCs w:val="20"/>
        </w:rPr>
        <w:t xml:space="preserve">Foram realizados três ensaios físico-químicos para avaliação de pureza do cítrico </w:t>
      </w:r>
      <w:proofErr w:type="spellStart"/>
      <w:r w:rsidRPr="006A243F">
        <w:rPr>
          <w:rFonts w:ascii="Arial" w:hAnsi="Arial" w:cs="Arial"/>
          <w:color w:val="auto"/>
          <w:sz w:val="20"/>
          <w:szCs w:val="20"/>
        </w:rPr>
        <w:t>monoidartado</w:t>
      </w:r>
      <w:proofErr w:type="spellEnd"/>
      <w:r w:rsidRPr="006A243F">
        <w:rPr>
          <w:rFonts w:ascii="Arial" w:hAnsi="Arial" w:cs="Arial"/>
          <w:color w:val="auto"/>
          <w:sz w:val="20"/>
          <w:szCs w:val="20"/>
        </w:rPr>
        <w:t xml:space="preserve"> (ácido 2-Hidroxipropano-1,2,3-tricarboxilico): Ensaio de detecção de substâncias facilmente carbonizáveis; Ensaio para determinação de limite de sulfatos e Ensaio de determinação de resíduos por incineração (cinzas sulfatadas). Os dois primeiros foram realizados no Laboratório Central do Instituto de Tecnologias da Saúde (ITS) do SENAI CIMATEC. Já o ensaio de resíduos por incineração, foi realizado no Laboratório</w:t>
      </w:r>
      <w:r>
        <w:rPr>
          <w:rFonts w:ascii="Arial" w:hAnsi="Arial" w:cs="Arial"/>
          <w:color w:val="auto"/>
          <w:sz w:val="20"/>
          <w:szCs w:val="20"/>
        </w:rPr>
        <w:t xml:space="preserve"> Integrado de Pesquisa Aplicado em </w:t>
      </w:r>
      <w:r w:rsidRPr="00EC5004">
        <w:rPr>
          <w:rFonts w:ascii="Arial" w:hAnsi="Arial" w:cs="Arial"/>
          <w:color w:val="auto"/>
          <w:sz w:val="20"/>
          <w:szCs w:val="20"/>
        </w:rPr>
        <w:t>Química (</w:t>
      </w:r>
      <w:proofErr w:type="gramStart"/>
      <w:r w:rsidRPr="006440A2">
        <w:rPr>
          <w:rFonts w:ascii="Arial" w:hAnsi="Arial" w:cs="Arial"/>
          <w:color w:val="auto"/>
          <w:sz w:val="20"/>
          <w:szCs w:val="20"/>
        </w:rPr>
        <w:t xml:space="preserve">LIPAC </w:t>
      </w:r>
      <w:r w:rsidRPr="00EC5004">
        <w:rPr>
          <w:rFonts w:ascii="Arial" w:hAnsi="Arial" w:cs="Arial"/>
          <w:color w:val="auto"/>
          <w:sz w:val="20"/>
          <w:szCs w:val="20"/>
        </w:rPr>
        <w:t>)</w:t>
      </w:r>
      <w:r w:rsidRPr="006A243F">
        <w:rPr>
          <w:rFonts w:ascii="Arial" w:hAnsi="Arial" w:cs="Arial"/>
          <w:color w:val="auto"/>
          <w:sz w:val="20"/>
          <w:szCs w:val="20"/>
        </w:rPr>
        <w:t>do</w:t>
      </w:r>
      <w:proofErr w:type="gramEnd"/>
      <w:r w:rsidRPr="006A243F">
        <w:rPr>
          <w:rFonts w:ascii="Arial" w:hAnsi="Arial" w:cs="Arial"/>
          <w:color w:val="auto"/>
          <w:sz w:val="20"/>
          <w:szCs w:val="20"/>
        </w:rPr>
        <w:t xml:space="preserve"> Instituto de Química, da mesma instituição. Todos os ensaios foram realizados no período de novembro de 2022 a janeiro de 2023</w:t>
      </w:r>
    </w:p>
    <w:p w14:paraId="2E7C7DB7" w14:textId="77777777" w:rsidR="007C6420" w:rsidRDefault="007C6420" w:rsidP="007C6420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A93C89">
        <w:rPr>
          <w:rFonts w:ascii="Arial" w:hAnsi="Arial" w:cs="Arial"/>
          <w:color w:val="auto"/>
          <w:sz w:val="20"/>
          <w:szCs w:val="20"/>
        </w:rPr>
        <w:t>Para a realização do ensaio de substâncias facilmente carbonizáveis, incialmente, 0,5g da amostra</w:t>
      </w:r>
      <w:r>
        <w:rPr>
          <w:rFonts w:ascii="Arial" w:hAnsi="Arial" w:cs="Arial"/>
          <w:color w:val="auto"/>
          <w:sz w:val="20"/>
          <w:szCs w:val="20"/>
        </w:rPr>
        <w:t xml:space="preserve"> de ácido cítrico</w:t>
      </w:r>
      <w:r w:rsidRPr="00A93C89">
        <w:rPr>
          <w:rFonts w:ascii="Arial" w:hAnsi="Arial" w:cs="Arial"/>
          <w:color w:val="auto"/>
          <w:sz w:val="20"/>
          <w:szCs w:val="20"/>
        </w:rPr>
        <w:t xml:space="preserve"> foi pulverizada por maceração em almofariz de porcelana.  Após esta etapa, a amostra foi transferida para um tubo de </w:t>
      </w:r>
      <w:proofErr w:type="spellStart"/>
      <w:r w:rsidRPr="00A93C89">
        <w:rPr>
          <w:rFonts w:ascii="Arial" w:hAnsi="Arial" w:cs="Arial"/>
          <w:color w:val="auto"/>
          <w:sz w:val="20"/>
          <w:szCs w:val="20"/>
        </w:rPr>
        <w:t>Nelsser</w:t>
      </w:r>
      <w:proofErr w:type="spellEnd"/>
      <w:r w:rsidRPr="00A93C89">
        <w:rPr>
          <w:rFonts w:ascii="Arial" w:hAnsi="Arial" w:cs="Arial"/>
          <w:color w:val="auto"/>
          <w:sz w:val="20"/>
          <w:szCs w:val="20"/>
        </w:rPr>
        <w:t xml:space="preserve"> previamente lavado com ácido sulfúrico, contendo 5mL de ácido sulfúrico. O tubo contendo a mistura foi então aquecido durante uma hora a 90 °C, em banho maria. Ao fim do período estabelecido, os tubos foram retirados do banho e foi feita a análise por inspeção visual, para avaliação da coloração da mistura. </w:t>
      </w:r>
    </w:p>
    <w:p w14:paraId="78EF9278" w14:textId="77777777" w:rsidR="007C6420" w:rsidRPr="00197179" w:rsidRDefault="007C6420" w:rsidP="007C6420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B903F8">
        <w:rPr>
          <w:rFonts w:ascii="Arial" w:hAnsi="Arial" w:cs="Arial"/>
          <w:color w:val="auto"/>
          <w:sz w:val="20"/>
          <w:szCs w:val="20"/>
        </w:rPr>
        <w:t>Nos ensaios de</w:t>
      </w:r>
      <w:r>
        <w:rPr>
          <w:rFonts w:ascii="Arial" w:hAnsi="Arial" w:cs="Arial"/>
          <w:color w:val="auto"/>
          <w:sz w:val="20"/>
          <w:szCs w:val="20"/>
        </w:rPr>
        <w:t xml:space="preserve"> determinação de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limite de sulfatos, inicialmente foi </w:t>
      </w:r>
      <w:r>
        <w:rPr>
          <w:rFonts w:ascii="Arial" w:hAnsi="Arial" w:cs="Arial"/>
          <w:color w:val="auto"/>
          <w:sz w:val="20"/>
          <w:szCs w:val="20"/>
        </w:rPr>
        <w:t xml:space="preserve">realizado o preparo da amostra, a partir da adição de 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30g </w:t>
      </w:r>
      <w:r>
        <w:rPr>
          <w:rFonts w:ascii="Arial" w:hAnsi="Arial" w:cs="Arial"/>
          <w:color w:val="auto"/>
          <w:sz w:val="20"/>
          <w:szCs w:val="20"/>
        </w:rPr>
        <w:t>do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 ácido cítrico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monoidratado</w:t>
      </w:r>
      <w:proofErr w:type="spellEnd"/>
      <w:r w:rsidRPr="00B903F8">
        <w:rPr>
          <w:rFonts w:ascii="Arial" w:hAnsi="Arial" w:cs="Arial"/>
          <w:color w:val="auto"/>
          <w:sz w:val="20"/>
          <w:szCs w:val="20"/>
        </w:rPr>
        <w:t xml:space="preserve"> e</w:t>
      </w:r>
      <w:r>
        <w:rPr>
          <w:rFonts w:ascii="Arial" w:hAnsi="Arial" w:cs="Arial"/>
          <w:color w:val="auto"/>
          <w:sz w:val="20"/>
          <w:szCs w:val="20"/>
        </w:rPr>
        <w:t xml:space="preserve">m </w:t>
      </w:r>
      <w:r w:rsidRPr="00B903F8">
        <w:rPr>
          <w:rFonts w:ascii="Arial" w:hAnsi="Arial" w:cs="Arial"/>
          <w:color w:val="auto"/>
          <w:sz w:val="20"/>
          <w:szCs w:val="20"/>
        </w:rPr>
        <w:t>40mL de água. A</w:t>
      </w:r>
      <w:r>
        <w:rPr>
          <w:rFonts w:ascii="Arial" w:hAnsi="Arial" w:cs="Arial"/>
          <w:color w:val="auto"/>
          <w:sz w:val="20"/>
          <w:szCs w:val="20"/>
        </w:rPr>
        <w:t>pós esta etapa, a amostra foi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 neutralizada com uma solução de ácido clorídrico 27,4% (p/v)</w:t>
      </w:r>
      <w:r>
        <w:rPr>
          <w:rFonts w:ascii="Arial" w:hAnsi="Arial" w:cs="Arial"/>
          <w:color w:val="auto"/>
          <w:sz w:val="20"/>
          <w:szCs w:val="20"/>
        </w:rPr>
        <w:t xml:space="preserve"> e 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transferida para </w:t>
      </w:r>
      <w:r>
        <w:rPr>
          <w:rFonts w:ascii="Arial" w:hAnsi="Arial" w:cs="Arial"/>
          <w:color w:val="auto"/>
          <w:sz w:val="20"/>
          <w:szCs w:val="20"/>
        </w:rPr>
        <w:t xml:space="preserve">um 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tubo de </w:t>
      </w:r>
      <w:proofErr w:type="spellStart"/>
      <w:r w:rsidRPr="00B903F8">
        <w:rPr>
          <w:rFonts w:ascii="Arial" w:hAnsi="Arial" w:cs="Arial"/>
          <w:color w:val="auto"/>
          <w:sz w:val="20"/>
          <w:szCs w:val="20"/>
        </w:rPr>
        <w:t>Nessler</w:t>
      </w:r>
      <w:proofErr w:type="spellEnd"/>
      <w:r w:rsidRPr="00B903F8">
        <w:rPr>
          <w:rFonts w:ascii="Arial" w:hAnsi="Arial" w:cs="Arial"/>
          <w:color w:val="auto"/>
          <w:sz w:val="20"/>
          <w:szCs w:val="20"/>
        </w:rPr>
        <w:t xml:space="preserve">. Para o preparo da solução padrão, foi adicionado 1mL de ácido sulfúrico padrão 0,005 M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 30 a 40 </w:t>
      </w:r>
      <w:proofErr w:type="spellStart"/>
      <w:r w:rsidRPr="00B903F8">
        <w:rPr>
          <w:rFonts w:ascii="Arial" w:hAnsi="Arial" w:cs="Arial"/>
          <w:color w:val="auto"/>
          <w:sz w:val="20"/>
          <w:szCs w:val="20"/>
        </w:rPr>
        <w:t>mL</w:t>
      </w:r>
      <w:proofErr w:type="spellEnd"/>
      <w:r w:rsidRPr="00B903F8">
        <w:rPr>
          <w:rFonts w:ascii="Arial" w:hAnsi="Arial" w:cs="Arial"/>
          <w:color w:val="auto"/>
          <w:sz w:val="20"/>
          <w:szCs w:val="20"/>
        </w:rPr>
        <w:t xml:space="preserve"> de água destilada</w:t>
      </w:r>
      <w:r>
        <w:rPr>
          <w:rFonts w:ascii="Arial" w:hAnsi="Arial" w:cs="Arial"/>
          <w:color w:val="auto"/>
          <w:sz w:val="20"/>
          <w:szCs w:val="20"/>
        </w:rPr>
        <w:t xml:space="preserve"> contida em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 outro tubo de </w:t>
      </w:r>
      <w:proofErr w:type="spellStart"/>
      <w:r w:rsidRPr="00B903F8">
        <w:rPr>
          <w:rFonts w:ascii="Arial" w:hAnsi="Arial" w:cs="Arial"/>
          <w:color w:val="auto"/>
          <w:sz w:val="20"/>
          <w:szCs w:val="20"/>
        </w:rPr>
        <w:t>Nessler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idêntico ao </w:t>
      </w:r>
      <w:r>
        <w:rPr>
          <w:rFonts w:ascii="Arial" w:hAnsi="Arial" w:cs="Arial"/>
          <w:color w:val="auto"/>
          <w:sz w:val="20"/>
          <w:szCs w:val="20"/>
        </w:rPr>
        <w:t>anterior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.  </w:t>
      </w:r>
      <w:r>
        <w:rPr>
          <w:rFonts w:ascii="Arial" w:hAnsi="Arial" w:cs="Arial"/>
          <w:color w:val="auto"/>
          <w:sz w:val="20"/>
          <w:szCs w:val="20"/>
        </w:rPr>
        <w:t>Posteriormente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, foi </w:t>
      </w:r>
      <w:r>
        <w:rPr>
          <w:rFonts w:ascii="Arial" w:hAnsi="Arial" w:cs="Arial"/>
          <w:color w:val="auto"/>
          <w:sz w:val="20"/>
          <w:szCs w:val="20"/>
        </w:rPr>
        <w:t xml:space="preserve">adicionado 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1 </w:t>
      </w:r>
      <w:proofErr w:type="spellStart"/>
      <w:r w:rsidRPr="00B903F8">
        <w:rPr>
          <w:rFonts w:ascii="Arial" w:hAnsi="Arial" w:cs="Arial"/>
          <w:color w:val="auto"/>
          <w:sz w:val="20"/>
          <w:szCs w:val="20"/>
        </w:rPr>
        <w:t>mL</w:t>
      </w:r>
      <w:proofErr w:type="spellEnd"/>
      <w:r w:rsidRPr="00B903F8">
        <w:rPr>
          <w:rFonts w:ascii="Arial" w:hAnsi="Arial" w:cs="Arial"/>
          <w:color w:val="auto"/>
          <w:sz w:val="20"/>
          <w:szCs w:val="20"/>
        </w:rPr>
        <w:t xml:space="preserve"> de ácido clorídrico 3 M e 3mL de solução de cloreto de bário </w:t>
      </w:r>
      <w:r>
        <w:rPr>
          <w:rFonts w:ascii="Arial" w:hAnsi="Arial" w:cs="Arial"/>
          <w:color w:val="auto"/>
          <w:sz w:val="20"/>
          <w:szCs w:val="20"/>
        </w:rPr>
        <w:t>10% (v/v)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 para cada um dos tubos e o volume foi ajustado para 50 </w:t>
      </w:r>
      <w:proofErr w:type="spellStart"/>
      <w:r w:rsidRPr="00B903F8">
        <w:rPr>
          <w:rFonts w:ascii="Arial" w:hAnsi="Arial" w:cs="Arial"/>
          <w:color w:val="auto"/>
          <w:sz w:val="20"/>
          <w:szCs w:val="20"/>
        </w:rPr>
        <w:t>mL</w:t>
      </w:r>
      <w:proofErr w:type="spellEnd"/>
      <w:r w:rsidRPr="00B903F8">
        <w:rPr>
          <w:rFonts w:ascii="Arial" w:hAnsi="Arial" w:cs="Arial"/>
          <w:color w:val="auto"/>
          <w:sz w:val="20"/>
          <w:szCs w:val="20"/>
        </w:rPr>
        <w:t xml:space="preserve"> com água destilada. A solução contida nos tubos foi então, homogeneizada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B903F8">
        <w:rPr>
          <w:rFonts w:ascii="Arial" w:hAnsi="Arial" w:cs="Arial"/>
          <w:color w:val="auto"/>
          <w:sz w:val="20"/>
          <w:szCs w:val="20"/>
        </w:rPr>
        <w:t xml:space="preserve">por inversão e deixadas em repouso, a temperatura ambiente, por 10 minutos. </w:t>
      </w:r>
      <w:r w:rsidRPr="00A93C89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pós este </w:t>
      </w:r>
      <w:r w:rsidRPr="00A93C89">
        <w:rPr>
          <w:rFonts w:ascii="Arial" w:hAnsi="Arial" w:cs="Arial"/>
          <w:color w:val="auto"/>
          <w:sz w:val="20"/>
          <w:szCs w:val="20"/>
        </w:rPr>
        <w:t>período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93C89">
        <w:rPr>
          <w:rFonts w:ascii="Arial" w:hAnsi="Arial" w:cs="Arial"/>
          <w:color w:val="auto"/>
          <w:sz w:val="20"/>
          <w:szCs w:val="20"/>
        </w:rPr>
        <w:t xml:space="preserve"> foi feita a análise por inspeção visual, para </w:t>
      </w:r>
      <w:r>
        <w:rPr>
          <w:rFonts w:ascii="Arial" w:hAnsi="Arial" w:cs="Arial"/>
          <w:color w:val="auto"/>
          <w:sz w:val="20"/>
          <w:szCs w:val="20"/>
        </w:rPr>
        <w:t>comparação do nível de turbidez da solução amostra em comparação à solução padrão.</w:t>
      </w:r>
    </w:p>
    <w:p w14:paraId="19D30041" w14:textId="77777777" w:rsidR="007C6420" w:rsidRPr="00386EF9" w:rsidRDefault="007C6420" w:rsidP="007C6420">
      <w:pPr>
        <w:pStyle w:val="Default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 no </w:t>
      </w:r>
      <w:r w:rsidRPr="00642E54">
        <w:rPr>
          <w:rFonts w:ascii="Arial" w:hAnsi="Arial" w:cs="Arial"/>
          <w:sz w:val="20"/>
          <w:szCs w:val="20"/>
        </w:rPr>
        <w:t>ensaio de avaliação do conteúdo de impurezas inorgânicas/resíduos por incineração, primeiramente foi pesado 1g de amostra em um cadinho de</w:t>
      </w:r>
      <w:r w:rsidRPr="00642E54">
        <w:rPr>
          <w:rFonts w:ascii="Arial" w:hAnsi="Arial" w:cs="Arial"/>
          <w:color w:val="auto"/>
          <w:sz w:val="20"/>
          <w:szCs w:val="20"/>
        </w:rPr>
        <w:t xml:space="preserve"> porcelana,</w:t>
      </w:r>
      <w:r w:rsidRPr="00642E54">
        <w:rPr>
          <w:rFonts w:ascii="Arial" w:hAnsi="Arial" w:cs="Arial"/>
          <w:sz w:val="20"/>
          <w:szCs w:val="20"/>
        </w:rPr>
        <w:t xml:space="preserve"> previamente submetido </w:t>
      </w:r>
      <w:r w:rsidRPr="00642E54">
        <w:rPr>
          <w:rFonts w:ascii="Arial" w:hAnsi="Arial" w:cs="Arial"/>
          <w:color w:val="auto"/>
          <w:sz w:val="20"/>
          <w:szCs w:val="20"/>
        </w:rPr>
        <w:t>à incineração em forno mufla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42E54">
        <w:rPr>
          <w:rFonts w:ascii="Arial" w:hAnsi="Arial" w:cs="Arial"/>
          <w:color w:val="auto"/>
          <w:sz w:val="20"/>
          <w:szCs w:val="20"/>
        </w:rPr>
        <w:t xml:space="preserve">à 600 ± 50 °C </w:t>
      </w:r>
      <w:r w:rsidRPr="00642E54">
        <w:rPr>
          <w:rFonts w:ascii="Arial" w:hAnsi="Arial" w:cs="Arial"/>
          <w:sz w:val="20"/>
          <w:szCs w:val="20"/>
        </w:rPr>
        <w:t xml:space="preserve">durante 30 minutos, resfriado em dessecador e pesado. </w:t>
      </w:r>
      <w:r>
        <w:rPr>
          <w:rFonts w:ascii="Arial" w:hAnsi="Arial" w:cs="Arial"/>
          <w:sz w:val="20"/>
          <w:szCs w:val="20"/>
        </w:rPr>
        <w:t>Dentro do cadinho, a</w:t>
      </w:r>
      <w:r w:rsidRPr="00642E54">
        <w:rPr>
          <w:rFonts w:ascii="Arial" w:hAnsi="Arial" w:cs="Arial"/>
          <w:sz w:val="20"/>
          <w:szCs w:val="20"/>
        </w:rPr>
        <w:t xml:space="preserve"> amostra foi umedecida </w:t>
      </w:r>
      <w:r w:rsidRPr="002A1C5B">
        <w:rPr>
          <w:rFonts w:ascii="Arial" w:hAnsi="Arial" w:cs="Arial"/>
          <w:color w:val="auto"/>
          <w:sz w:val="20"/>
          <w:szCs w:val="20"/>
        </w:rPr>
        <w:t xml:space="preserve">com 1 </w:t>
      </w:r>
      <w:proofErr w:type="spellStart"/>
      <w:r w:rsidRPr="002A1C5B">
        <w:rPr>
          <w:rFonts w:ascii="Arial" w:hAnsi="Arial" w:cs="Arial"/>
          <w:color w:val="auto"/>
          <w:sz w:val="20"/>
          <w:szCs w:val="20"/>
        </w:rPr>
        <w:t>mL</w:t>
      </w:r>
      <w:proofErr w:type="spellEnd"/>
      <w:r w:rsidRPr="002A1C5B">
        <w:rPr>
          <w:rFonts w:ascii="Arial" w:hAnsi="Arial" w:cs="Arial"/>
          <w:color w:val="auto"/>
          <w:sz w:val="20"/>
          <w:szCs w:val="20"/>
        </w:rPr>
        <w:t xml:space="preserve"> de ácido sulfúrico e até a sua carbonização. Após resfriamento, o resíduo da primeira carbonização foi novamente umedecido com 1 </w:t>
      </w:r>
      <w:proofErr w:type="spellStart"/>
      <w:r w:rsidRPr="002A1C5B">
        <w:rPr>
          <w:rFonts w:ascii="Arial" w:hAnsi="Arial" w:cs="Arial"/>
          <w:color w:val="auto"/>
          <w:sz w:val="20"/>
          <w:szCs w:val="20"/>
        </w:rPr>
        <w:t>mL</w:t>
      </w:r>
      <w:proofErr w:type="spellEnd"/>
      <w:r w:rsidRPr="002A1C5B">
        <w:rPr>
          <w:rFonts w:ascii="Arial" w:hAnsi="Arial" w:cs="Arial"/>
          <w:color w:val="auto"/>
          <w:sz w:val="20"/>
          <w:szCs w:val="20"/>
        </w:rPr>
        <w:t xml:space="preserve"> de ácido sulfúrico, inicialmente aquecido até que não fossem desprendidos fumos brancos e posteriorment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2A1C5B">
        <w:rPr>
          <w:rFonts w:ascii="Arial" w:hAnsi="Arial" w:cs="Arial"/>
          <w:color w:val="auto"/>
          <w:sz w:val="20"/>
          <w:szCs w:val="20"/>
        </w:rPr>
        <w:t xml:space="preserve"> carbonizado. A amostra carbonizada foi </w:t>
      </w:r>
      <w:r>
        <w:rPr>
          <w:rFonts w:ascii="Arial" w:hAnsi="Arial" w:cs="Arial"/>
          <w:color w:val="auto"/>
          <w:sz w:val="20"/>
          <w:szCs w:val="20"/>
        </w:rPr>
        <w:t xml:space="preserve">então, </w:t>
      </w:r>
      <w:r w:rsidRPr="002A1C5B">
        <w:rPr>
          <w:rFonts w:ascii="Arial" w:hAnsi="Arial" w:cs="Arial"/>
          <w:color w:val="auto"/>
          <w:sz w:val="20"/>
          <w:szCs w:val="20"/>
        </w:rPr>
        <w:t>submetida a Incineração a (600 ± 50) °C entre duas e três horas</w:t>
      </w:r>
      <w:r>
        <w:rPr>
          <w:rFonts w:ascii="Arial" w:hAnsi="Arial" w:cs="Arial"/>
          <w:color w:val="auto"/>
          <w:sz w:val="20"/>
          <w:szCs w:val="20"/>
        </w:rPr>
        <w:t xml:space="preserve"> em forno mufla</w:t>
      </w:r>
      <w:r w:rsidRPr="002A1C5B">
        <w:rPr>
          <w:rFonts w:ascii="Arial" w:hAnsi="Arial" w:cs="Arial"/>
          <w:color w:val="auto"/>
          <w:sz w:val="20"/>
          <w:szCs w:val="20"/>
        </w:rPr>
        <w:t>. A</w:t>
      </w:r>
      <w:r>
        <w:rPr>
          <w:rFonts w:ascii="Arial" w:hAnsi="Arial" w:cs="Arial"/>
          <w:color w:val="auto"/>
          <w:sz w:val="20"/>
          <w:szCs w:val="20"/>
        </w:rPr>
        <w:t>o fim d</w:t>
      </w:r>
      <w:r w:rsidRPr="002A1C5B">
        <w:rPr>
          <w:rFonts w:ascii="Arial" w:hAnsi="Arial" w:cs="Arial"/>
          <w:color w:val="auto"/>
          <w:sz w:val="20"/>
          <w:szCs w:val="20"/>
        </w:rPr>
        <w:t>este período, o cadinho contendo os resíduos de incineração</w:t>
      </w:r>
      <w:r w:rsidRPr="00642E54">
        <w:rPr>
          <w:rFonts w:ascii="Arial" w:hAnsi="Arial" w:cs="Arial"/>
          <w:sz w:val="20"/>
          <w:szCs w:val="20"/>
        </w:rPr>
        <w:t>, foi resfriado em um dessecador</w:t>
      </w:r>
      <w:r>
        <w:rPr>
          <w:rFonts w:ascii="Arial" w:hAnsi="Arial" w:cs="Arial"/>
          <w:sz w:val="20"/>
          <w:szCs w:val="20"/>
        </w:rPr>
        <w:t xml:space="preserve"> e </w:t>
      </w:r>
      <w:r w:rsidRPr="00642E54">
        <w:rPr>
          <w:rFonts w:ascii="Arial" w:hAnsi="Arial" w:cs="Arial"/>
          <w:sz w:val="20"/>
          <w:szCs w:val="20"/>
        </w:rPr>
        <w:t>pesado</w:t>
      </w:r>
      <w:r>
        <w:rPr>
          <w:rFonts w:ascii="Arial" w:hAnsi="Arial" w:cs="Arial"/>
          <w:sz w:val="20"/>
          <w:szCs w:val="20"/>
        </w:rPr>
        <w:t>. A p</w:t>
      </w:r>
      <w:r w:rsidRPr="00642E54">
        <w:rPr>
          <w:rFonts w:ascii="Arial" w:hAnsi="Arial" w:cs="Arial"/>
          <w:sz w:val="20"/>
          <w:szCs w:val="20"/>
        </w:rPr>
        <w:t>orcentagem do resíduo</w:t>
      </w:r>
      <w:r>
        <w:rPr>
          <w:rFonts w:ascii="Arial" w:hAnsi="Arial" w:cs="Arial"/>
          <w:sz w:val="20"/>
          <w:szCs w:val="20"/>
        </w:rPr>
        <w:t xml:space="preserve"> </w:t>
      </w:r>
      <w:r w:rsidRPr="00642E54">
        <w:rPr>
          <w:rFonts w:ascii="Arial" w:hAnsi="Arial" w:cs="Arial"/>
          <w:sz w:val="20"/>
          <w:szCs w:val="20"/>
        </w:rPr>
        <w:t>foi calculada</w:t>
      </w:r>
      <w:r>
        <w:rPr>
          <w:rFonts w:ascii="Arial" w:hAnsi="Arial" w:cs="Arial"/>
          <w:sz w:val="20"/>
          <w:szCs w:val="20"/>
        </w:rPr>
        <w:t xml:space="preserve"> de acordo com a</w:t>
      </w:r>
      <w:r w:rsidRPr="00642E54">
        <w:rPr>
          <w:rFonts w:ascii="Arial" w:hAnsi="Arial" w:cs="Arial"/>
          <w:sz w:val="20"/>
          <w:szCs w:val="20"/>
        </w:rPr>
        <w:t xml:space="preserve"> fórmula: </w:t>
      </w:r>
      <w:r>
        <w:rPr>
          <w:rFonts w:ascii="Arial" w:hAnsi="Arial" w:cs="Arial"/>
          <w:sz w:val="20"/>
          <w:szCs w:val="20"/>
        </w:rPr>
        <w:t xml:space="preserve">  </w:t>
      </w:r>
      <w:r w:rsidRPr="00642E54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R</w:t>
      </w:r>
      <w:r w:rsidRPr="00642E54">
        <w:rPr>
          <w:rFonts w:ascii="Arial" w:hAnsi="Arial" w:cs="Arial"/>
          <w:sz w:val="20"/>
          <w:szCs w:val="20"/>
        </w:rPr>
        <w:t xml:space="preserve">esíduo por </w:t>
      </w:r>
      <w:r>
        <w:rPr>
          <w:rFonts w:ascii="Arial" w:hAnsi="Arial" w:cs="Arial"/>
          <w:sz w:val="20"/>
          <w:szCs w:val="20"/>
        </w:rPr>
        <w:t>I</w:t>
      </w:r>
      <w:r w:rsidRPr="00642E54">
        <w:rPr>
          <w:rFonts w:ascii="Arial" w:hAnsi="Arial" w:cs="Arial"/>
          <w:sz w:val="20"/>
          <w:szCs w:val="20"/>
        </w:rPr>
        <w:t>ncineração</w:t>
      </w:r>
      <w:r>
        <w:rPr>
          <w:rFonts w:ascii="Arial" w:hAnsi="Arial" w:cs="Arial"/>
          <w:sz w:val="20"/>
          <w:szCs w:val="20"/>
        </w:rPr>
        <w:t xml:space="preserve"> =</w:t>
      </w:r>
      <w:r w:rsidRPr="00642E54"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P2-P1</m:t>
            </m:r>
          </m:num>
          <m:den>
            <m:r>
              <w:rPr>
                <w:rFonts w:ascii="Cambria Math" w:hAnsi="Cambria Math" w:cs="Arial"/>
              </w:rPr>
              <m:t>P3</m:t>
            </m:r>
          </m:den>
        </m:f>
      </m:oMath>
      <w:r>
        <w:rPr>
          <w:rFonts w:ascii="Arial" w:hAnsi="Arial" w:cs="Arial"/>
        </w:rPr>
        <w:t xml:space="preserve"> </w:t>
      </w:r>
      <w:r w:rsidRPr="00A151C2">
        <w:rPr>
          <w:rFonts w:ascii="Arial" w:hAnsi="Arial" w:cs="Arial"/>
          <w:sz w:val="20"/>
          <w:szCs w:val="20"/>
        </w:rPr>
        <w:t>*100</w:t>
      </w:r>
      <w:r>
        <w:rPr>
          <w:rFonts w:ascii="Arial" w:hAnsi="Arial" w:cs="Arial"/>
          <w:sz w:val="20"/>
          <w:szCs w:val="20"/>
        </w:rPr>
        <w:t>.</w:t>
      </w:r>
    </w:p>
    <w:p w14:paraId="4EBD7E6D" w14:textId="77777777" w:rsidR="007C6420" w:rsidRPr="000C7107" w:rsidRDefault="007C6420" w:rsidP="007C642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0C7107">
        <w:rPr>
          <w:rFonts w:ascii="Arial" w:hAnsi="Arial" w:cs="Arial"/>
          <w:sz w:val="20"/>
          <w:szCs w:val="20"/>
        </w:rPr>
        <w:t xml:space="preserve">m que:               </w:t>
      </w:r>
    </w:p>
    <w:p w14:paraId="56A7FA02" w14:textId="77777777" w:rsidR="007C6420" w:rsidRPr="000C7107" w:rsidRDefault="007C6420" w:rsidP="007C642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C7107">
        <w:rPr>
          <w:rFonts w:ascii="Arial" w:hAnsi="Arial" w:cs="Arial"/>
          <w:sz w:val="20"/>
          <w:szCs w:val="20"/>
        </w:rPr>
        <w:t xml:space="preserve">P1 = peso do cadinho depois da calcinação e resfriamento (em gramas); </w:t>
      </w:r>
    </w:p>
    <w:p w14:paraId="052EF379" w14:textId="77777777" w:rsidR="007C6420" w:rsidRPr="000C7107" w:rsidRDefault="007C6420" w:rsidP="007C642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C7107">
        <w:rPr>
          <w:rFonts w:ascii="Arial" w:hAnsi="Arial" w:cs="Arial"/>
          <w:sz w:val="20"/>
          <w:szCs w:val="20"/>
        </w:rPr>
        <w:t xml:space="preserve">P2 = peso do cadinho com a amostra depois da calcinação e resfriamento (em gramas); </w:t>
      </w:r>
    </w:p>
    <w:p w14:paraId="753F2D24" w14:textId="77777777" w:rsidR="007C6420" w:rsidRPr="000C7107" w:rsidRDefault="007C6420" w:rsidP="007C642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C7107">
        <w:rPr>
          <w:rFonts w:ascii="Arial" w:hAnsi="Arial" w:cs="Arial"/>
          <w:sz w:val="20"/>
          <w:szCs w:val="20"/>
        </w:rPr>
        <w:t xml:space="preserve">P3 = peso inicial da amostra (em gramas); </w:t>
      </w:r>
    </w:p>
    <w:p w14:paraId="13B3A329" w14:textId="77777777" w:rsidR="007C6420" w:rsidRPr="000C7107" w:rsidRDefault="007C6420" w:rsidP="007C642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C7107">
        <w:rPr>
          <w:rFonts w:ascii="Arial" w:hAnsi="Arial" w:cs="Arial"/>
          <w:sz w:val="20"/>
          <w:szCs w:val="20"/>
        </w:rPr>
        <w:t xml:space="preserve">100= fator de porcentagem. </w:t>
      </w:r>
    </w:p>
    <w:p w14:paraId="6D8710B7" w14:textId="77777777" w:rsidR="007C6420" w:rsidRPr="00CC3731" w:rsidRDefault="007C6420" w:rsidP="007C642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993EDA" w14:textId="77777777" w:rsidR="007C6420" w:rsidRPr="00386EF9" w:rsidRDefault="007C6420" w:rsidP="007C642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C7107">
        <w:rPr>
          <w:rFonts w:ascii="Arial" w:hAnsi="Arial" w:cs="Arial"/>
          <w:sz w:val="20"/>
          <w:szCs w:val="20"/>
        </w:rPr>
        <w:t xml:space="preserve">Além dos ensaios físico-químicos para avaliação de pureza do cítrico </w:t>
      </w:r>
      <w:proofErr w:type="spellStart"/>
      <w:r w:rsidRPr="000C7107">
        <w:rPr>
          <w:rFonts w:ascii="Arial" w:hAnsi="Arial" w:cs="Arial"/>
          <w:sz w:val="20"/>
          <w:szCs w:val="20"/>
        </w:rPr>
        <w:t>monoidartado</w:t>
      </w:r>
      <w:proofErr w:type="spellEnd"/>
      <w:r w:rsidRPr="000C7107">
        <w:rPr>
          <w:rFonts w:ascii="Arial" w:hAnsi="Arial" w:cs="Arial"/>
          <w:sz w:val="20"/>
          <w:szCs w:val="20"/>
        </w:rPr>
        <w:t>, também foi realizado</w:t>
      </w:r>
      <w:r w:rsidRPr="000C71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107">
        <w:rPr>
          <w:rFonts w:ascii="Arial" w:hAnsi="Arial" w:cs="Arial"/>
          <w:sz w:val="20"/>
          <w:szCs w:val="20"/>
        </w:rPr>
        <w:t xml:space="preserve">um experimento de doseamento desta matéria-prima. Para isto, inicialmente 0,5 g da amostra foi dissolvida em 50 </w:t>
      </w:r>
      <w:proofErr w:type="spellStart"/>
      <w:r w:rsidRPr="000C7107">
        <w:rPr>
          <w:rFonts w:ascii="Arial" w:hAnsi="Arial" w:cs="Arial"/>
          <w:sz w:val="20"/>
          <w:szCs w:val="20"/>
        </w:rPr>
        <w:t>mL</w:t>
      </w:r>
      <w:proofErr w:type="spellEnd"/>
      <w:r w:rsidRPr="000C7107">
        <w:rPr>
          <w:rFonts w:ascii="Arial" w:hAnsi="Arial" w:cs="Arial"/>
          <w:sz w:val="20"/>
          <w:szCs w:val="20"/>
        </w:rPr>
        <w:t xml:space="preserve"> de água. A solução foi então titulada com uma solução volumétrica de hidróxido de sódio (50% p/v), usando fenolftaleína como indicador. O experimento foi realizado em triplicata e foi considerado que cada </w:t>
      </w:r>
      <w:proofErr w:type="spellStart"/>
      <w:r w:rsidRPr="000C7107">
        <w:rPr>
          <w:rFonts w:ascii="Arial" w:hAnsi="Arial" w:cs="Arial"/>
          <w:sz w:val="20"/>
          <w:szCs w:val="20"/>
        </w:rPr>
        <w:t>mL</w:t>
      </w:r>
      <w:proofErr w:type="spellEnd"/>
      <w:r w:rsidRPr="000C7107">
        <w:rPr>
          <w:rFonts w:ascii="Arial" w:hAnsi="Arial" w:cs="Arial"/>
          <w:sz w:val="20"/>
          <w:szCs w:val="20"/>
        </w:rPr>
        <w:t xml:space="preserve"> da solução volumétrica de hidróxido de sódio equivale a 64,040 mg de ácido cítrico. O </w:t>
      </w:r>
      <w:proofErr w:type="spellStart"/>
      <w:r w:rsidRPr="000C7107">
        <w:rPr>
          <w:rFonts w:ascii="Arial" w:hAnsi="Arial" w:cs="Arial"/>
          <w:sz w:val="20"/>
          <w:szCs w:val="20"/>
        </w:rPr>
        <w:t>dosamento</w:t>
      </w:r>
      <w:proofErr w:type="spellEnd"/>
      <w:r w:rsidRPr="000C7107">
        <w:rPr>
          <w:rFonts w:ascii="Arial" w:hAnsi="Arial" w:cs="Arial"/>
          <w:sz w:val="20"/>
          <w:szCs w:val="20"/>
        </w:rPr>
        <w:t xml:space="preserve"> foi calculado a partir das fórmulas: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Ac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NaOH</m:t>
                </m:r>
              </m:sub>
            </m:sSub>
            <m:r>
              <w:rPr>
                <w:rFonts w:ascii="Cambria Math" w:hAnsi="Cambria Math" w:cs="Arial"/>
              </w:rPr>
              <m:t xml:space="preserve">*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NaOH</m:t>
                </m:r>
              </m:sub>
            </m:sSub>
            <m:r>
              <w:rPr>
                <w:rFonts w:ascii="Cambria Math" w:hAnsi="Cambria Math" w:cs="Arial"/>
              </w:rPr>
              <m:t xml:space="preserve"> *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MM</m:t>
                </m:r>
              </m:e>
              <m:sub>
                <m:r>
                  <w:rPr>
                    <w:rFonts w:ascii="Cambria Math" w:hAnsi="Cambria Math" w:cs="Arial"/>
                  </w:rPr>
                  <m:t>Ac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 xml:space="preserve">       e        </w:t>
      </w:r>
      <m:oMath>
        <m:r>
          <w:rPr>
            <w:rFonts w:ascii="Cambria Math" w:hAnsi="Cambria Math" w:cs="Arial"/>
          </w:rPr>
          <m:t>% Ac=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</w:rPr>
                  <m:t>Ac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</w:rPr>
                  <m:t xml:space="preserve">ut </m:t>
                </m:r>
              </m:sub>
            </m:sSub>
          </m:den>
        </m:f>
      </m:oMath>
      <w:r w:rsidRPr="00642E54">
        <w:rPr>
          <w:rFonts w:ascii="Arial" w:hAnsi="Arial" w:cs="Arial"/>
          <w:sz w:val="20"/>
          <w:szCs w:val="20"/>
        </w:rPr>
        <w:t xml:space="preserve">  * 100</w:t>
      </w:r>
    </w:p>
    <w:p w14:paraId="1F0D337F" w14:textId="77777777" w:rsidR="007C6420" w:rsidRPr="00386EF9" w:rsidRDefault="007C6420" w:rsidP="007C642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 que</w:t>
      </w:r>
      <w:r w:rsidRPr="00386EF9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6420" w:rsidRPr="00386EF9" w14:paraId="167996CC" w14:textId="77777777" w:rsidTr="00FA1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87D642E" w14:textId="77777777" w:rsidR="007C6420" w:rsidRPr="0022749D" w:rsidRDefault="007C6420" w:rsidP="00FA13C5">
            <w:pPr>
              <w:pStyle w:val="SemEspaamen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Ac</m:t>
                  </m:r>
                </m:sub>
              </m:sSub>
            </m:oMath>
            <w:r w:rsidRPr="00386EF9">
              <w:rPr>
                <w:b w:val="0"/>
                <w:bCs w:val="0"/>
              </w:rPr>
              <w:t xml:space="preserve"> = </w:t>
            </w:r>
            <w:proofErr w:type="spellStart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massa</w:t>
            </w:r>
            <w:proofErr w:type="spellEnd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ácido</w:t>
            </w:r>
            <w:proofErr w:type="spellEnd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cítrico</w:t>
            </w:r>
            <w:proofErr w:type="spellEnd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recuperada</w:t>
            </w:r>
            <w:proofErr w:type="spellEnd"/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(g)</w:t>
            </w:r>
          </w:p>
          <w:p w14:paraId="5D7918C4" w14:textId="77777777" w:rsidR="007C6420" w:rsidRPr="0022749D" w:rsidRDefault="007C6420" w:rsidP="00FA13C5">
            <w:pPr>
              <w:pStyle w:val="SemEspaamento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 w:val="0"/>
                      <w:bCs w:val="0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NaOH</m:t>
                  </m:r>
                </m:sub>
              </m:sSub>
            </m:oMath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 xml:space="preserve"> = Concentração de NaOH (mol L</w:t>
            </w:r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pt-BR"/>
              </w:rPr>
              <w:t>-1</w:t>
            </w:r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)</w:t>
            </w:r>
          </w:p>
          <w:p w14:paraId="09B8122A" w14:textId="77777777" w:rsidR="007C6420" w:rsidRPr="0022749D" w:rsidRDefault="007C6420" w:rsidP="00FA13C5">
            <w:pPr>
              <w:pStyle w:val="SemEspaamento"/>
              <w:rPr>
                <w:rFonts w:ascii="Arial" w:hAnsi="Arial" w:cs="Arial"/>
                <w:b w:val="0"/>
                <w:bCs w:val="0"/>
                <w:sz w:val="20"/>
                <w:szCs w:val="20"/>
                <w:lang w:val="pt-PT" w:eastAsia="pt-BR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 w:val="0"/>
                      <w:bCs w:val="0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NaOH</m:t>
                  </m:r>
                </m:sub>
              </m:sSub>
            </m:oMath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 xml:space="preserve">  = Volume do NaOH gasto na titulação (L)</w:t>
            </w:r>
          </w:p>
          <w:p w14:paraId="759D8B81" w14:textId="77777777" w:rsidR="007C6420" w:rsidRPr="00386EF9" w:rsidRDefault="007C6420" w:rsidP="00FA13C5">
            <w:pPr>
              <w:pStyle w:val="SemEspaamento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 w:val="0"/>
                      <w:bCs w:val="0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MM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Ac</m:t>
                  </m:r>
                </m:sub>
              </m:sSub>
            </m:oMath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= Massa molar do ácido cítrico (g mol</w:t>
            </w:r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pt-BR"/>
              </w:rPr>
              <w:t>-1</w:t>
            </w:r>
            <w:r w:rsidRPr="0022749D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4814" w:type="dxa"/>
          </w:tcPr>
          <w:p w14:paraId="37FDC12F" w14:textId="77777777" w:rsidR="007C6420" w:rsidRPr="00386EF9" w:rsidRDefault="007C6420" w:rsidP="00FA13C5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6EF9">
              <w:rPr>
                <w:b w:val="0"/>
                <w:bCs w:val="0"/>
              </w:rPr>
              <w:t xml:space="preserve">% Ac = </w:t>
            </w:r>
            <w:proofErr w:type="spellStart"/>
            <w:r w:rsidRPr="00386EF9">
              <w:rPr>
                <w:b w:val="0"/>
                <w:bCs w:val="0"/>
              </w:rPr>
              <w:t>porcentagem</w:t>
            </w:r>
            <w:proofErr w:type="spellEnd"/>
            <w:r w:rsidRPr="00386EF9">
              <w:rPr>
                <w:b w:val="0"/>
                <w:bCs w:val="0"/>
              </w:rPr>
              <w:t xml:space="preserve"> de </w:t>
            </w:r>
            <w:proofErr w:type="spellStart"/>
            <w:r w:rsidRPr="00386EF9">
              <w:rPr>
                <w:b w:val="0"/>
                <w:bCs w:val="0"/>
              </w:rPr>
              <w:t>ácido</w:t>
            </w:r>
            <w:proofErr w:type="spellEnd"/>
            <w:r w:rsidRPr="00386EF9">
              <w:rPr>
                <w:b w:val="0"/>
                <w:bCs w:val="0"/>
              </w:rPr>
              <w:t xml:space="preserve"> </w:t>
            </w:r>
            <w:proofErr w:type="spellStart"/>
            <w:r w:rsidRPr="00386EF9">
              <w:rPr>
                <w:b w:val="0"/>
                <w:bCs w:val="0"/>
              </w:rPr>
              <w:t>cítrico</w:t>
            </w:r>
            <w:proofErr w:type="spellEnd"/>
          </w:p>
          <w:p w14:paraId="1CE90284" w14:textId="77777777" w:rsidR="007C6420" w:rsidRPr="00386EF9" w:rsidRDefault="007C6420" w:rsidP="00FA13C5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Ac</m:t>
                  </m:r>
                </m:sub>
              </m:sSub>
            </m:oMath>
            <w:r w:rsidRPr="00386EF9">
              <w:rPr>
                <w:b w:val="0"/>
                <w:bCs w:val="0"/>
              </w:rPr>
              <w:t xml:space="preserve"> = massa de ácido cítrico recuperada (g)</w:t>
            </w:r>
          </w:p>
          <w:p w14:paraId="32123EA5" w14:textId="77777777" w:rsidR="007C6420" w:rsidRPr="00386EF9" w:rsidRDefault="007C6420" w:rsidP="00FA13C5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ut</m:t>
                  </m:r>
                </m:sub>
              </m:sSub>
            </m:oMath>
            <w:r w:rsidRPr="00386EF9">
              <w:rPr>
                <w:b w:val="0"/>
                <w:bCs w:val="0"/>
              </w:rPr>
              <w:t xml:space="preserve"> = massa de ácido cítrico utiliz</w:t>
            </w:r>
            <w:proofErr w:type="spellStart"/>
            <w:r w:rsidRPr="00386EF9">
              <w:rPr>
                <w:b w:val="0"/>
                <w:bCs w:val="0"/>
              </w:rPr>
              <w:t>ada</w:t>
            </w:r>
            <w:proofErr w:type="spellEnd"/>
            <w:r w:rsidRPr="00386EF9">
              <w:rPr>
                <w:b w:val="0"/>
                <w:bCs w:val="0"/>
              </w:rPr>
              <w:t xml:space="preserve"> (0,5 g) </w:t>
            </w:r>
          </w:p>
          <w:p w14:paraId="00FA1EBB" w14:textId="77777777" w:rsidR="007C6420" w:rsidRPr="00386EF9" w:rsidRDefault="007C6420" w:rsidP="00FA13C5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0E8FC34D" w14:textId="444DDCE3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8FC34F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0E8FC350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62A24F8" w14:textId="6D16CF5C" w:rsidR="007C6420" w:rsidRPr="00884BDD" w:rsidRDefault="007C6420" w:rsidP="007C6420">
      <w:pPr>
        <w:pStyle w:val="Default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884BDD">
        <w:rPr>
          <w:rFonts w:ascii="Arial" w:hAnsi="Arial" w:cs="Arial"/>
          <w:bCs/>
          <w:color w:val="auto"/>
          <w:sz w:val="20"/>
          <w:szCs w:val="20"/>
        </w:rPr>
        <w:t xml:space="preserve">A fim de cumprir com as normas da </w:t>
      </w:r>
      <w:r w:rsidRPr="00884BDD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RDC Nº 658, DE 30 DE MARÇO DE 2022</w:t>
      </w:r>
      <w:r w:rsidRPr="00884BDD">
        <w:rPr>
          <w:rFonts w:ascii="Arial" w:hAnsi="Arial" w:cs="Arial"/>
          <w:bCs/>
          <w:color w:val="auto"/>
          <w:sz w:val="20"/>
          <w:szCs w:val="20"/>
        </w:rPr>
        <w:t>, a qual dispõe sobre as Boas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Práticas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de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Fabricação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de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Medicamentos,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a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integridade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física e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química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das matérias-primas</w:t>
      </w:r>
      <w:r w:rsidRPr="00884BDD">
        <w:rPr>
          <w:rFonts w:ascii="Arial" w:hAnsi="Arial" w:cs="Arial"/>
          <w:bCs/>
          <w:color w:val="auto"/>
          <w:spacing w:val="-17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utilizados</w:t>
      </w:r>
      <w:r w:rsidRPr="00884BDD">
        <w:rPr>
          <w:rFonts w:ascii="Arial" w:hAnsi="Arial" w:cs="Arial"/>
          <w:bCs/>
          <w:color w:val="auto"/>
          <w:spacing w:val="-17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na</w:t>
      </w:r>
      <w:r w:rsidRPr="00884BDD">
        <w:rPr>
          <w:rFonts w:ascii="Arial" w:hAnsi="Arial" w:cs="Arial"/>
          <w:bCs/>
          <w:color w:val="auto"/>
          <w:spacing w:val="-2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produção</w:t>
      </w:r>
      <w:r w:rsidRPr="00884BDD">
        <w:rPr>
          <w:rFonts w:ascii="Arial" w:hAnsi="Arial" w:cs="Arial"/>
          <w:bCs/>
          <w:color w:val="auto"/>
          <w:spacing w:val="-16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de</w:t>
      </w:r>
      <w:r w:rsidRPr="00884BDD">
        <w:rPr>
          <w:rFonts w:ascii="Arial" w:hAnsi="Arial" w:cs="Arial"/>
          <w:bCs/>
          <w:color w:val="auto"/>
          <w:spacing w:val="7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medicamentos,</w:t>
      </w:r>
      <w:r w:rsidRPr="00884BDD">
        <w:rPr>
          <w:rFonts w:ascii="Arial" w:hAnsi="Arial" w:cs="Arial"/>
          <w:bCs/>
          <w:color w:val="auto"/>
          <w:spacing w:val="-15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deve</w:t>
      </w:r>
      <w:r w:rsidRPr="00884BDD">
        <w:rPr>
          <w:rFonts w:ascii="Arial" w:hAnsi="Arial" w:cs="Arial"/>
          <w:bCs/>
          <w:color w:val="auto"/>
          <w:spacing w:val="-9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ser</w:t>
      </w:r>
      <w:r w:rsidRPr="00884BDD">
        <w:rPr>
          <w:rFonts w:ascii="Arial" w:hAnsi="Arial" w:cs="Arial"/>
          <w:bCs/>
          <w:color w:val="auto"/>
          <w:spacing w:val="-22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 xml:space="preserve">assegurada. Todos 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os resultados obtidos nos ensaios de controle </w:t>
      </w:r>
      <w:r>
        <w:rPr>
          <w:rFonts w:ascii="Arial" w:hAnsi="Arial" w:cs="Arial"/>
          <w:color w:val="auto"/>
          <w:sz w:val="20"/>
          <w:szCs w:val="20"/>
        </w:rPr>
        <w:t xml:space="preserve">de qualidade 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físico-químico de pureza do ácido </w:t>
      </w:r>
      <w:r w:rsidRPr="00884BDD">
        <w:rPr>
          <w:rFonts w:ascii="Arial" w:hAnsi="Arial" w:cs="Arial"/>
          <w:color w:val="auto"/>
          <w:sz w:val="20"/>
          <w:szCs w:val="20"/>
        </w:rPr>
        <w:t>cítrico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884BDD">
        <w:rPr>
          <w:rFonts w:ascii="Arial" w:hAnsi="Arial" w:cs="Arial"/>
          <w:color w:val="auto"/>
          <w:sz w:val="20"/>
          <w:szCs w:val="20"/>
        </w:rPr>
        <w:t>monoidaratado</w:t>
      </w:r>
      <w:proofErr w:type="spellEnd"/>
      <w:r w:rsidRPr="00884BDD">
        <w:rPr>
          <w:rFonts w:ascii="Arial" w:hAnsi="Arial" w:cs="Arial"/>
          <w:color w:val="auto"/>
          <w:sz w:val="20"/>
          <w:szCs w:val="20"/>
        </w:rPr>
        <w:t>, bem como no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 ensaio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 de </w:t>
      </w:r>
      <w:r w:rsidRPr="00884BDD">
        <w:rPr>
          <w:rFonts w:ascii="Arial" w:hAnsi="Arial" w:cs="Arial"/>
          <w:color w:val="auto"/>
          <w:sz w:val="20"/>
          <w:szCs w:val="20"/>
        </w:rPr>
        <w:lastRenderedPageBreak/>
        <w:t>doseamento, estão de acordo com o especificado em documentação vigente</w:t>
      </w:r>
      <w:r>
        <w:rPr>
          <w:rFonts w:ascii="Arial" w:hAnsi="Arial" w:cs="Arial"/>
          <w:color w:val="auto"/>
          <w:sz w:val="20"/>
          <w:szCs w:val="20"/>
        </w:rPr>
        <w:t xml:space="preserve">: 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Farmacopeia Brasileira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6</w:t>
      </w:r>
      <w:r w:rsidRPr="00884BDD">
        <w:rPr>
          <w:rFonts w:ascii="Arial" w:hAnsi="Arial" w:cs="Arial"/>
          <w:bCs/>
          <w:color w:val="auto"/>
          <w:sz w:val="20"/>
          <w:szCs w:val="20"/>
          <w:vertAlign w:val="superscript"/>
        </w:rPr>
        <w:t>a</w:t>
      </w:r>
      <w:r w:rsidRPr="00884BDD">
        <w:rPr>
          <w:rFonts w:ascii="Arial" w:hAnsi="Arial" w:cs="Arial"/>
          <w:bCs/>
          <w:color w:val="auto"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color w:val="auto"/>
          <w:sz w:val="20"/>
          <w:szCs w:val="20"/>
        </w:rPr>
        <w:t>Edição</w:t>
      </w:r>
      <w:r w:rsidRPr="00884BDD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9D904E7" w14:textId="610779A0" w:rsidR="007C6420" w:rsidRPr="00884BDD" w:rsidRDefault="007C6420" w:rsidP="007C6420">
      <w:pPr>
        <w:pStyle w:val="Default"/>
        <w:ind w:firstLine="360"/>
        <w:jc w:val="both"/>
        <w:rPr>
          <w:rFonts w:ascii="Arial" w:hAnsi="Arial" w:cs="Arial"/>
          <w:sz w:val="20"/>
          <w:szCs w:val="20"/>
        </w:rPr>
      </w:pPr>
      <w:r w:rsidRPr="00884BDD">
        <w:rPr>
          <w:rFonts w:ascii="Arial" w:hAnsi="Arial" w:cs="Arial"/>
          <w:color w:val="auto"/>
          <w:sz w:val="20"/>
          <w:szCs w:val="20"/>
        </w:rPr>
        <w:t xml:space="preserve">No ensaio realizado para avaliação da presença de substâncias facilmente carbonizáveis, após o aquecimento, a solução apresentou coloração amarela e não parda (Figura 1A.), estando de acordo com o estabelecido como aceitável para o ácido cítrico </w:t>
      </w:r>
      <w:proofErr w:type="spellStart"/>
      <w:r w:rsidRPr="00884BDD">
        <w:rPr>
          <w:rFonts w:ascii="Arial" w:hAnsi="Arial" w:cs="Arial"/>
          <w:color w:val="auto"/>
          <w:sz w:val="20"/>
          <w:szCs w:val="20"/>
        </w:rPr>
        <w:t>monoidratado</w:t>
      </w:r>
      <w:proofErr w:type="spellEnd"/>
      <w:r w:rsidRPr="00884BDD">
        <w:rPr>
          <w:rFonts w:ascii="Arial" w:hAnsi="Arial" w:cs="Arial"/>
          <w:color w:val="auto"/>
          <w:sz w:val="20"/>
          <w:szCs w:val="20"/>
        </w:rPr>
        <w:t xml:space="preserve">, neste ensaio. </w:t>
      </w:r>
    </w:p>
    <w:p w14:paraId="359DDE59" w14:textId="77777777" w:rsidR="007C6420" w:rsidRPr="00884BDD" w:rsidRDefault="007C6420" w:rsidP="007C6420">
      <w:pPr>
        <w:pStyle w:val="Default"/>
        <w:ind w:firstLine="360"/>
        <w:jc w:val="both"/>
        <w:rPr>
          <w:rFonts w:ascii="Arial" w:hAnsi="Arial" w:cs="Arial"/>
          <w:sz w:val="20"/>
          <w:szCs w:val="20"/>
        </w:rPr>
      </w:pPr>
      <w:r w:rsidRPr="00884BDD">
        <w:rPr>
          <w:rFonts w:ascii="Arial" w:hAnsi="Arial" w:cs="Arial"/>
          <w:sz w:val="20"/>
          <w:szCs w:val="20"/>
        </w:rPr>
        <w:t>No ensaio para avaliação do limite de sulfatos, a turbidez da preparação amostra não foi superior à da preparação padrão (Figura 1B.), como determinado na documentação vigente como critério de aceitação da substância em análise.</w:t>
      </w:r>
    </w:p>
    <w:p w14:paraId="0467BA4D" w14:textId="77777777" w:rsidR="007C6420" w:rsidRPr="00F33E5C" w:rsidRDefault="007C6420" w:rsidP="007C6420">
      <w:pPr>
        <w:pStyle w:val="Default"/>
        <w:ind w:firstLine="360"/>
        <w:jc w:val="both"/>
        <w:rPr>
          <w:rFonts w:ascii="Arial" w:hAnsi="Arial" w:cs="Arial"/>
          <w:sz w:val="20"/>
          <w:szCs w:val="20"/>
        </w:rPr>
      </w:pPr>
      <w:r w:rsidRPr="00884BDD">
        <w:rPr>
          <w:rFonts w:ascii="Arial" w:hAnsi="Arial" w:cs="Arial"/>
          <w:color w:val="auto"/>
          <w:sz w:val="20"/>
          <w:szCs w:val="20"/>
        </w:rPr>
        <w:t xml:space="preserve">Já no ensaio de resíduos por incineração (Figura 1C.), a amostra apresentou % de cinzas sulfatadas = </w:t>
      </w:r>
      <w:r w:rsidRPr="00F33E5C">
        <w:rPr>
          <w:rFonts w:ascii="Arial" w:hAnsi="Arial" w:cs="Arial"/>
          <w:color w:val="auto"/>
          <w:sz w:val="20"/>
          <w:szCs w:val="20"/>
        </w:rPr>
        <w:t>0,015%, também estando dentro do limite de aceitação (até 0,1%) estabelecido</w:t>
      </w:r>
      <w:r w:rsidRPr="00F33E5C">
        <w:rPr>
          <w:rFonts w:ascii="Arial" w:hAnsi="Arial" w:cs="Arial"/>
          <w:sz w:val="20"/>
          <w:szCs w:val="20"/>
        </w:rPr>
        <w:t>. Através deste ensaio é possível realizar a avaliação da presença de impurezas inorgânicas.</w:t>
      </w:r>
    </w:p>
    <w:p w14:paraId="1A62D7C5" w14:textId="77777777" w:rsidR="007C6420" w:rsidRPr="00884BDD" w:rsidRDefault="007C6420" w:rsidP="007C6420">
      <w:pPr>
        <w:pStyle w:val="Default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F33E5C">
        <w:rPr>
          <w:rFonts w:ascii="Arial" w:hAnsi="Arial" w:cs="Arial"/>
          <w:color w:val="auto"/>
          <w:sz w:val="20"/>
          <w:szCs w:val="20"/>
        </w:rPr>
        <w:t xml:space="preserve">No ensaio de doseamento do ácido cítrico </w:t>
      </w:r>
      <w:proofErr w:type="spellStart"/>
      <w:r w:rsidRPr="00F33E5C">
        <w:rPr>
          <w:rFonts w:ascii="Arial" w:hAnsi="Arial" w:cs="Arial"/>
          <w:color w:val="auto"/>
          <w:sz w:val="20"/>
          <w:szCs w:val="20"/>
        </w:rPr>
        <w:t>monoidratado</w:t>
      </w:r>
      <w:proofErr w:type="spellEnd"/>
      <w:r w:rsidRPr="00F33E5C">
        <w:rPr>
          <w:rFonts w:ascii="Arial" w:hAnsi="Arial" w:cs="Arial"/>
          <w:color w:val="auto"/>
          <w:sz w:val="20"/>
          <w:szCs w:val="20"/>
        </w:rPr>
        <w:t xml:space="preserve"> (Figura 1D.), foi possível quantificar </w:t>
      </w:r>
      <w:r>
        <w:rPr>
          <w:rFonts w:ascii="Arial" w:hAnsi="Arial" w:cs="Arial"/>
          <w:color w:val="auto"/>
          <w:sz w:val="20"/>
          <w:szCs w:val="20"/>
        </w:rPr>
        <w:t>99,8</w:t>
      </w:r>
      <w:r w:rsidRPr="00F33E5C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Pr="00F33E5C">
        <w:rPr>
          <w:rFonts w:ascii="Arial" w:hAnsi="Arial" w:cs="Arial"/>
          <w:color w:val="auto"/>
          <w:sz w:val="20"/>
          <w:szCs w:val="20"/>
        </w:rPr>
        <w:t>da substância na amostra, estando dentro da faixa de aceitação (99,5 - 101,0%) estabelecida.</w:t>
      </w:r>
    </w:p>
    <w:p w14:paraId="5CFC5218" w14:textId="77777777" w:rsidR="007C6420" w:rsidRPr="00884BDD" w:rsidRDefault="007C6420" w:rsidP="007C6420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6E63F08" w14:textId="77777777" w:rsidR="007C6420" w:rsidRPr="00E2505D" w:rsidRDefault="007C6420" w:rsidP="007C6420">
      <w:pPr>
        <w:pStyle w:val="Default"/>
        <w:ind w:left="360"/>
        <w:jc w:val="center"/>
        <w:rPr>
          <w:rFonts w:asciiTheme="minorHAnsi" w:hAnsiTheme="minorHAnsi" w:cstheme="minorBidi"/>
          <w:sz w:val="22"/>
          <w:szCs w:val="22"/>
        </w:rPr>
      </w:pPr>
      <w:r w:rsidRPr="00884BDD">
        <w:rPr>
          <w:rFonts w:ascii="Arial" w:hAnsi="Arial" w:cs="Arial"/>
          <w:b/>
          <w:bCs/>
          <w:sz w:val="20"/>
          <w:szCs w:val="20"/>
        </w:rPr>
        <w:t xml:space="preserve">Figura 1: </w:t>
      </w:r>
      <w:r w:rsidRPr="00884BDD">
        <w:rPr>
          <w:rFonts w:ascii="Arial" w:hAnsi="Arial" w:cs="Arial"/>
          <w:sz w:val="20"/>
          <w:szCs w:val="20"/>
        </w:rPr>
        <w:t xml:space="preserve">Ensaios de pureza e doseamento de ácido cítrico </w:t>
      </w:r>
      <w:proofErr w:type="spellStart"/>
      <w:r w:rsidRPr="00884BDD">
        <w:rPr>
          <w:rFonts w:ascii="Arial" w:hAnsi="Arial" w:cs="Arial"/>
          <w:sz w:val="20"/>
          <w:szCs w:val="20"/>
        </w:rPr>
        <w:t>monoidratado</w:t>
      </w:r>
      <w:proofErr w:type="spellEnd"/>
      <w:r w:rsidRPr="00E2505D">
        <w:rPr>
          <w:rFonts w:asciiTheme="minorHAnsi" w:hAnsiTheme="minorHAnsi" w:cstheme="minorBidi"/>
          <w:sz w:val="22"/>
          <w:szCs w:val="22"/>
        </w:rPr>
        <w:t>.</w:t>
      </w:r>
    </w:p>
    <w:p w14:paraId="5A0CE75A" w14:textId="77777777" w:rsidR="007C6420" w:rsidRPr="00E2505D" w:rsidRDefault="007C6420" w:rsidP="007C6420">
      <w:pPr>
        <w:pStyle w:val="Default"/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  <w:r w:rsidRPr="00E2505D">
        <w:rPr>
          <w:rFonts w:ascii="Arial" w:hAnsi="Arial" w:cs="Arial"/>
          <w:noProof/>
          <w:sz w:val="18"/>
          <w:szCs w:val="18"/>
        </w:rPr>
        <w:t>A)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E2505D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72AF7915" wp14:editId="50C50B9F">
            <wp:extent cx="1027242" cy="171450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7"/>
                    <a:stretch/>
                  </pic:blipFill>
                  <pic:spPr bwMode="auto">
                    <a:xfrm>
                      <a:off x="0" y="0"/>
                      <a:ext cx="1088171" cy="18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505D">
        <w:rPr>
          <w:rFonts w:ascii="Arial" w:hAnsi="Arial" w:cs="Arial"/>
          <w:noProof/>
          <w:sz w:val="18"/>
          <w:szCs w:val="18"/>
        </w:rPr>
        <w:t xml:space="preserve"> B)</w:t>
      </w:r>
      <w:r w:rsidRPr="005F6354">
        <w:rPr>
          <w:rFonts w:ascii="Arial" w:hAnsi="Arial" w:cs="Arial"/>
          <w:noProof/>
          <w:sz w:val="18"/>
          <w:szCs w:val="18"/>
        </w:rPr>
        <w:t xml:space="preserve"> </w:t>
      </w:r>
      <w:r w:rsidRPr="00E2505D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325BA94E" wp14:editId="017AE750">
            <wp:extent cx="1314413" cy="17526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59" cy="182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05D">
        <w:rPr>
          <w:rFonts w:ascii="Arial" w:hAnsi="Arial" w:cs="Arial"/>
          <w:noProof/>
          <w:sz w:val="18"/>
          <w:szCs w:val="18"/>
        </w:rPr>
        <w:t xml:space="preserve"> C) </w:t>
      </w:r>
      <w:r w:rsidRPr="00E2505D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63089099" wp14:editId="5AA021B0">
            <wp:extent cx="1171284" cy="17240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6" t="5950" r="10533" b="11886"/>
                    <a:stretch/>
                  </pic:blipFill>
                  <pic:spPr bwMode="auto">
                    <a:xfrm>
                      <a:off x="0" y="0"/>
                      <a:ext cx="1214496" cy="17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505D">
        <w:rPr>
          <w:rFonts w:ascii="Arial" w:hAnsi="Arial" w:cs="Arial"/>
          <w:noProof/>
          <w:sz w:val="18"/>
          <w:szCs w:val="18"/>
        </w:rPr>
        <w:t xml:space="preserve">D) </w:t>
      </w:r>
      <w:r w:rsidRPr="00E2505D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4C3935A7" wp14:editId="49CC23E8">
            <wp:extent cx="1124585" cy="1751372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2" t="2227" r="14561" b="30601"/>
                    <a:stretch/>
                  </pic:blipFill>
                  <pic:spPr bwMode="auto">
                    <a:xfrm>
                      <a:off x="0" y="0"/>
                      <a:ext cx="1162620" cy="18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FC354" w14:textId="3C14528B" w:rsidR="003F0C20" w:rsidRDefault="003F0C20" w:rsidP="007C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8FC355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8FC356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0E8FC357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8FC35E" w14:textId="189238A1" w:rsidR="003F0C20" w:rsidRPr="007C6420" w:rsidRDefault="007C6420" w:rsidP="007C6420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884BDD">
        <w:rPr>
          <w:rFonts w:ascii="Arial" w:hAnsi="Arial" w:cs="Arial"/>
          <w:bCs/>
          <w:sz w:val="20"/>
          <w:szCs w:val="20"/>
        </w:rPr>
        <w:t xml:space="preserve">Todos </w:t>
      </w:r>
      <w:r w:rsidRPr="00884BDD">
        <w:rPr>
          <w:rFonts w:ascii="Arial" w:hAnsi="Arial" w:cs="Arial"/>
          <w:sz w:val="20"/>
          <w:szCs w:val="20"/>
        </w:rPr>
        <w:t xml:space="preserve">os resultados obtidos nos ensaios de controle físico-químico de pureza do ácido </w:t>
      </w:r>
      <w:r w:rsidRPr="00884BDD">
        <w:rPr>
          <w:rFonts w:ascii="Arial" w:hAnsi="Arial" w:cs="Arial"/>
          <w:sz w:val="20"/>
          <w:szCs w:val="20"/>
        </w:rPr>
        <w:t>cítrico</w:t>
      </w:r>
      <w:r w:rsidRPr="00884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4BDD">
        <w:rPr>
          <w:rFonts w:ascii="Arial" w:hAnsi="Arial" w:cs="Arial"/>
          <w:sz w:val="20"/>
          <w:szCs w:val="20"/>
        </w:rPr>
        <w:t>monoidaratado</w:t>
      </w:r>
      <w:proofErr w:type="spellEnd"/>
      <w:r w:rsidRPr="00884BDD">
        <w:rPr>
          <w:rFonts w:ascii="Arial" w:hAnsi="Arial" w:cs="Arial"/>
          <w:sz w:val="20"/>
          <w:szCs w:val="20"/>
        </w:rPr>
        <w:t xml:space="preserve">, bem como no ensaio de doseamento, </w:t>
      </w:r>
      <w:r>
        <w:rPr>
          <w:rFonts w:ascii="Arial" w:hAnsi="Arial" w:cs="Arial"/>
          <w:sz w:val="20"/>
          <w:szCs w:val="20"/>
        </w:rPr>
        <w:t xml:space="preserve">até então, </w:t>
      </w:r>
      <w:r w:rsidRPr="00884BDD">
        <w:rPr>
          <w:rFonts w:ascii="Arial" w:hAnsi="Arial" w:cs="Arial"/>
          <w:sz w:val="20"/>
          <w:szCs w:val="20"/>
        </w:rPr>
        <w:t xml:space="preserve">estão de acordo com o especificado em documentação vigente (Farmacopeia Brasileira </w:t>
      </w:r>
      <w:r w:rsidRPr="00884BDD">
        <w:rPr>
          <w:rFonts w:ascii="Arial" w:hAnsi="Arial" w:cs="Arial"/>
          <w:bCs/>
          <w:sz w:val="20"/>
          <w:szCs w:val="20"/>
        </w:rPr>
        <w:t>6</w:t>
      </w:r>
      <w:r w:rsidRPr="00884BDD">
        <w:rPr>
          <w:rFonts w:ascii="Arial" w:hAnsi="Arial" w:cs="Arial"/>
          <w:bCs/>
          <w:sz w:val="20"/>
          <w:szCs w:val="20"/>
          <w:vertAlign w:val="superscript"/>
        </w:rPr>
        <w:t>a</w:t>
      </w:r>
      <w:r w:rsidRPr="00884BDD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884BDD">
        <w:rPr>
          <w:rFonts w:ascii="Arial" w:hAnsi="Arial" w:cs="Arial"/>
          <w:bCs/>
          <w:sz w:val="20"/>
          <w:szCs w:val="20"/>
        </w:rPr>
        <w:t>Edição</w:t>
      </w:r>
      <w:r>
        <w:rPr>
          <w:rFonts w:ascii="Arial" w:hAnsi="Arial" w:cs="Arial"/>
          <w:bCs/>
          <w:sz w:val="20"/>
          <w:szCs w:val="20"/>
        </w:rPr>
        <w:t xml:space="preserve">). Espera-se que futuramente, todos os ensaios de pureza previstos, bem como ensaios de identificação desta matéria-prima, estejam padronizados e em consonância com critérios e limites de aceitação </w:t>
      </w:r>
      <w:r>
        <w:rPr>
          <w:rFonts w:ascii="Arial" w:hAnsi="Arial" w:cs="Arial"/>
          <w:bCs/>
          <w:sz w:val="20"/>
          <w:szCs w:val="20"/>
        </w:rPr>
        <w:t>estabelecidos</w:t>
      </w:r>
      <w:r>
        <w:rPr>
          <w:rFonts w:ascii="Arial" w:hAnsi="Arial" w:cs="Arial"/>
          <w:bCs/>
          <w:sz w:val="20"/>
          <w:szCs w:val="20"/>
        </w:rPr>
        <w:t xml:space="preserve"> tanto pela legislação vigente quanto com os dados obtidos através da transferência de tecnologia para produção da Vacina RNA MCTI CIMATEC HDT, em território nacional.</w:t>
      </w:r>
    </w:p>
    <w:p w14:paraId="0E8FC35F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8FC360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0E8FC361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E8FC364" w14:textId="4627CA40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EC5004">
        <w:rPr>
          <w:rFonts w:ascii="Arial" w:hAnsi="Arial" w:cs="Arial"/>
          <w:sz w:val="20"/>
          <w:szCs w:val="20"/>
        </w:rPr>
        <w:t>Ao Centro Universitário SENAI CIMATEC e ao CNPq pelo apoio financeiro</w:t>
      </w:r>
      <w:r>
        <w:rPr>
          <w:rFonts w:ascii="Arial" w:hAnsi="Arial" w:cs="Arial"/>
          <w:sz w:val="20"/>
          <w:szCs w:val="20"/>
        </w:rPr>
        <w:t>.</w:t>
      </w:r>
    </w:p>
    <w:p w14:paraId="7F86E285" w14:textId="74AD1062" w:rsidR="007C64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E5A7A69" w14:textId="77777777" w:rsidR="007C64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E8FC365" w14:textId="77777777" w:rsidR="003F0C20" w:rsidRDefault="007C64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0E8FC366" w14:textId="77777777" w:rsidR="003F0C20" w:rsidRDefault="003F0C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600F16" w14:textId="77777777" w:rsidR="007C6420" w:rsidRPr="00194DC0" w:rsidRDefault="007C6420" w:rsidP="007C6420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</w:p>
    <w:p w14:paraId="072F8EA5" w14:textId="77777777" w:rsidR="007C6420" w:rsidRPr="00EC5004" w:rsidRDefault="007C6420" w:rsidP="007C64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B1A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EC5004">
        <w:rPr>
          <w:rFonts w:ascii="Arial" w:eastAsia="Times New Roman" w:hAnsi="Arial" w:cs="Arial"/>
          <w:sz w:val="20"/>
          <w:szCs w:val="20"/>
        </w:rPr>
        <w:t xml:space="preserve">BOZEMAN, Barry. Technology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transfer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public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policy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: a review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research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sz w:val="20"/>
          <w:szCs w:val="20"/>
        </w:rPr>
        <w:t>theory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>. </w:t>
      </w:r>
      <w:proofErr w:type="spellStart"/>
      <w:r w:rsidRPr="00EC5004">
        <w:rPr>
          <w:rFonts w:ascii="Arial" w:eastAsia="Times New Roman" w:hAnsi="Arial" w:cs="Arial"/>
          <w:b/>
          <w:bCs/>
          <w:sz w:val="20"/>
          <w:szCs w:val="20"/>
        </w:rPr>
        <w:t>Research</w:t>
      </w:r>
      <w:proofErr w:type="spellEnd"/>
      <w:r w:rsidRPr="00EC500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EC5004">
        <w:rPr>
          <w:rFonts w:ascii="Arial" w:eastAsia="Times New Roman" w:hAnsi="Arial" w:cs="Arial"/>
          <w:b/>
          <w:bCs/>
          <w:sz w:val="20"/>
          <w:szCs w:val="20"/>
        </w:rPr>
        <w:t>Policy</w:t>
      </w:r>
      <w:proofErr w:type="spellEnd"/>
      <w:r w:rsidRPr="00EC5004">
        <w:rPr>
          <w:rFonts w:ascii="Arial" w:eastAsia="Times New Roman" w:hAnsi="Arial" w:cs="Arial"/>
          <w:sz w:val="20"/>
          <w:szCs w:val="20"/>
        </w:rPr>
        <w:t>,</w:t>
      </w:r>
      <w:r w:rsidRPr="00DC0B1A">
        <w:rPr>
          <w:rFonts w:ascii="Arial" w:eastAsia="Times New Roman" w:hAnsi="Arial" w:cs="Arial"/>
          <w:sz w:val="20"/>
          <w:szCs w:val="20"/>
        </w:rPr>
        <w:t xml:space="preserve"> </w:t>
      </w:r>
      <w:r w:rsidRPr="00EC5004">
        <w:rPr>
          <w:rFonts w:ascii="Arial" w:eastAsia="Times New Roman" w:hAnsi="Arial" w:cs="Arial"/>
          <w:sz w:val="20"/>
          <w:szCs w:val="20"/>
        </w:rPr>
        <w:t>2000.</w:t>
      </w:r>
    </w:p>
    <w:p w14:paraId="468006A4" w14:textId="77777777" w:rsidR="007C6420" w:rsidRPr="00DC0B1A" w:rsidRDefault="007C6420" w:rsidP="007C64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FC36F" w14:textId="3F79807D" w:rsidR="003F0C20" w:rsidRPr="007C6420" w:rsidRDefault="007C6420" w:rsidP="007C64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5004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C5004">
        <w:rPr>
          <w:rFonts w:ascii="Arial" w:hAnsi="Arial" w:cs="Arial"/>
          <w:sz w:val="20"/>
          <w:szCs w:val="20"/>
        </w:rPr>
        <w:t>AGENCIA NACIONAL DE VIGILÂNCIA SANITÁRIA. Resolução da diretoria colegiada- RDC nº 658, de 30 de março de 2022. Disponível em:&lt; www.anvisa.gov.br/legis&gt; Acessado em: 02 de abril de 2023.</w:t>
      </w:r>
      <w:r w:rsidRPr="00EC5004">
        <w:rPr>
          <w:rFonts w:ascii="Arial" w:hAnsi="Arial" w:cs="Arial"/>
          <w:b/>
          <w:bCs/>
          <w:sz w:val="20"/>
          <w:szCs w:val="20"/>
        </w:rPr>
        <w:t xml:space="preserve"> ANVISA</w:t>
      </w:r>
      <w:r w:rsidRPr="00EC5004">
        <w:rPr>
          <w:rFonts w:ascii="Arial" w:hAnsi="Arial" w:cs="Arial"/>
          <w:sz w:val="20"/>
          <w:szCs w:val="20"/>
        </w:rPr>
        <w:t>, 2023.</w:t>
      </w:r>
    </w:p>
    <w:p w14:paraId="0E8FC377" w14:textId="77777777" w:rsidR="003F0C20" w:rsidRDefault="003F0C20">
      <w:bookmarkStart w:id="1" w:name="_GoBack"/>
      <w:bookmarkEnd w:id="1"/>
    </w:p>
    <w:p w14:paraId="0E8FC378" w14:textId="77777777" w:rsidR="003F0C20" w:rsidRDefault="003F0C20"/>
    <w:p w14:paraId="0E8FC379" w14:textId="77777777" w:rsidR="003F0C20" w:rsidRDefault="003F0C20"/>
    <w:p w14:paraId="0E8FC37A" w14:textId="77777777" w:rsidR="003F0C20" w:rsidRDefault="003F0C20"/>
    <w:sectPr w:rsidR="003F0C20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FC382" w14:textId="77777777" w:rsidR="00000000" w:rsidRDefault="007C6420">
      <w:pPr>
        <w:spacing w:after="0" w:line="240" w:lineRule="auto"/>
      </w:pPr>
      <w:r>
        <w:separator/>
      </w:r>
    </w:p>
  </w:endnote>
  <w:endnote w:type="continuationSeparator" w:id="0">
    <w:p w14:paraId="0E8FC384" w14:textId="77777777" w:rsidR="00000000" w:rsidRDefault="007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C37C" w14:textId="77777777" w:rsidR="003F0C20" w:rsidRDefault="007C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0E8FC37D" w14:textId="77777777" w:rsidR="003F0C20" w:rsidRDefault="003F0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FC37E" w14:textId="77777777" w:rsidR="00000000" w:rsidRDefault="007C6420">
      <w:pPr>
        <w:spacing w:after="0" w:line="240" w:lineRule="auto"/>
      </w:pPr>
      <w:r>
        <w:separator/>
      </w:r>
    </w:p>
  </w:footnote>
  <w:footnote w:type="continuationSeparator" w:id="0">
    <w:p w14:paraId="0E8FC380" w14:textId="77777777" w:rsidR="00000000" w:rsidRDefault="007C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C37B" w14:textId="77777777" w:rsidR="003F0C20" w:rsidRDefault="007C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8FC37E" wp14:editId="0E8FC37F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20"/>
    <w:rsid w:val="003F0C20"/>
    <w:rsid w:val="007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C334"/>
  <w15:docId w15:val="{316DF076-298E-4D15-85A2-D9583FF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C6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table" w:styleId="TabelaSimples4">
    <w:name w:val="Plain Table 4"/>
    <w:basedOn w:val="Tabelanormal"/>
    <w:uiPriority w:val="44"/>
    <w:rsid w:val="007C6420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7C6420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7C64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1817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Lenisa dandara dos santos</cp:lastModifiedBy>
  <cp:revision>2</cp:revision>
  <dcterms:created xsi:type="dcterms:W3CDTF">2023-05-08T12:54:00Z</dcterms:created>
  <dcterms:modified xsi:type="dcterms:W3CDTF">2023-05-08T12:54:00Z</dcterms:modified>
</cp:coreProperties>
</file>