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8130" w14:textId="497FEEF4" w:rsidR="009405C0" w:rsidRDefault="008D5DAB" w:rsidP="0094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ANÁLISE DE INDICADORES </w:t>
      </w:r>
      <w:r w:rsidR="00913811">
        <w:rPr>
          <w:rFonts w:ascii="Times New Roman" w:hAnsi="Times New Roman" w:cs="Times New Roman"/>
          <w:b/>
          <w:sz w:val="24"/>
          <w:szCs w:val="24"/>
        </w:rPr>
        <w:t xml:space="preserve">DA DINÂMICA </w:t>
      </w:r>
      <w:r w:rsidR="00041864">
        <w:rPr>
          <w:rFonts w:ascii="Times New Roman" w:hAnsi="Times New Roman" w:cs="Times New Roman"/>
          <w:b/>
          <w:sz w:val="24"/>
          <w:szCs w:val="24"/>
        </w:rPr>
        <w:t xml:space="preserve">DA ESTRUTURA PRODUTIVA E ECONÔMICA </w:t>
      </w:r>
      <w:r w:rsidR="00913811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FRUTICULTURA </w:t>
      </w:r>
      <w:r w:rsidR="00913811">
        <w:rPr>
          <w:rFonts w:ascii="Times New Roman" w:hAnsi="Times New Roman" w:cs="Times New Roman"/>
          <w:b/>
          <w:sz w:val="24"/>
          <w:szCs w:val="24"/>
        </w:rPr>
        <w:t>CATARINENSE (2002-2019)</w:t>
      </w:r>
    </w:p>
    <w:p w14:paraId="20D3FC5C" w14:textId="77777777" w:rsidR="009405C0" w:rsidRDefault="009405C0" w:rsidP="005142B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9BAC0" w14:textId="1A729F56" w:rsidR="0046558D" w:rsidRDefault="00030BAD" w:rsidP="0046558D">
      <w:pPr>
        <w:pStyle w:val="x-scope"/>
        <w:spacing w:before="0" w:beforeAutospacing="0" w:after="0" w:afterAutospacing="0"/>
        <w:jc w:val="right"/>
        <w:rPr>
          <w:rStyle w:val="qowt-font2-timesnewroman"/>
        </w:rPr>
      </w:pPr>
      <w:r>
        <w:rPr>
          <w:rStyle w:val="qowt-font2-timesnewroman"/>
        </w:rPr>
        <w:t>Rogério Goulart Junior, Dr.</w:t>
      </w:r>
      <w:r w:rsidR="0046558D" w:rsidRPr="0046558D">
        <w:rPr>
          <w:rStyle w:val="qowt-font2-timesnewroman"/>
        </w:rPr>
        <w:t xml:space="preserve">; </w:t>
      </w:r>
      <w:r>
        <w:rPr>
          <w:rStyle w:val="qowt-font2-timesnewroman"/>
        </w:rPr>
        <w:t>CEPA - Epagri</w:t>
      </w:r>
      <w:r w:rsidR="0046558D" w:rsidRPr="0046558D">
        <w:rPr>
          <w:rStyle w:val="qowt-font2-timesnewroman"/>
        </w:rPr>
        <w:t xml:space="preserve">; </w:t>
      </w:r>
      <w:hyperlink r:id="rId5" w:history="1">
        <w:r w:rsidRPr="00B75974">
          <w:rPr>
            <w:rStyle w:val="Hyperlink"/>
          </w:rPr>
          <w:t>rogeriojunior@epagri.sc.gov.br</w:t>
        </w:r>
      </w:hyperlink>
    </w:p>
    <w:p w14:paraId="28E25B17" w14:textId="46449624" w:rsidR="00F12B8B" w:rsidRDefault="008D5DAB" w:rsidP="00F12B8B">
      <w:pPr>
        <w:pStyle w:val="x-scope"/>
        <w:spacing w:before="0" w:beforeAutospacing="0" w:after="0" w:afterAutospacing="0"/>
        <w:jc w:val="right"/>
        <w:rPr>
          <w:rStyle w:val="qowt-font2-timesnewroman"/>
        </w:rPr>
      </w:pPr>
      <w:r>
        <w:rPr>
          <w:rStyle w:val="qowt-font2-timesnewroman"/>
        </w:rPr>
        <w:t>Luiz Henrique de Sousa</w:t>
      </w:r>
      <w:r w:rsidR="0046558D" w:rsidRPr="0046558D">
        <w:rPr>
          <w:rStyle w:val="qowt-font2-timesnewroman"/>
        </w:rPr>
        <w:t xml:space="preserve">; </w:t>
      </w:r>
      <w:r>
        <w:rPr>
          <w:rStyle w:val="qowt-font2-timesnewroman"/>
        </w:rPr>
        <w:t>UDESC</w:t>
      </w:r>
      <w:r w:rsidR="0046558D" w:rsidRPr="0046558D">
        <w:rPr>
          <w:rStyle w:val="qowt-font2-timesnewroman"/>
        </w:rPr>
        <w:t xml:space="preserve">; </w:t>
      </w:r>
      <w:hyperlink r:id="rId6" w:history="1">
        <w:r w:rsidRPr="00C477BF">
          <w:rPr>
            <w:rStyle w:val="Hyperlink"/>
          </w:rPr>
          <w:t>luizhenriques.sousa@gmail.com</w:t>
        </w:r>
      </w:hyperlink>
    </w:p>
    <w:p w14:paraId="748DD86C" w14:textId="77777777" w:rsidR="009405C0" w:rsidRDefault="009405C0" w:rsidP="005142B0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26E0DA" w14:textId="47F84DD9" w:rsidR="009539B1" w:rsidRDefault="009405C0" w:rsidP="003E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 </w:t>
      </w:r>
      <w:r w:rsidR="00030BA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0BAD" w:rsidRPr="00030BAD">
        <w:rPr>
          <w:rFonts w:ascii="Times New Roman" w:hAnsi="Times New Roman" w:cs="Times New Roman"/>
          <w:sz w:val="24"/>
          <w:szCs w:val="24"/>
        </w:rPr>
        <w:t>Desenvolvimento rural e agricultura familiar</w:t>
      </w:r>
    </w:p>
    <w:p w14:paraId="7D029D5E" w14:textId="77777777" w:rsidR="00030BAD" w:rsidRDefault="00030BAD" w:rsidP="00030B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E85B6" w14:textId="77777777" w:rsidR="00BF2363" w:rsidRDefault="00BF2363" w:rsidP="00406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737E2" w14:textId="77777777" w:rsidR="00406404" w:rsidRPr="00DE2E18" w:rsidRDefault="00E52F39" w:rsidP="00406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1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06404" w:rsidRPr="00DE2E18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16240F37" w14:textId="5E553F2F" w:rsidR="00DE2E18" w:rsidRPr="00DE2E18" w:rsidRDefault="00DE2E18" w:rsidP="00DE2E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18">
        <w:rPr>
          <w:rFonts w:ascii="Times New Roman" w:hAnsi="Times New Roman" w:cs="Times New Roman"/>
          <w:sz w:val="24"/>
          <w:szCs w:val="24"/>
        </w:rPr>
        <w:t>A fruticultura catarinense representa mais de 5,0% da produção nacional,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E18">
        <w:rPr>
          <w:rFonts w:ascii="Times New Roman" w:hAnsi="Times New Roman" w:cs="Times New Roman"/>
          <w:sz w:val="24"/>
          <w:szCs w:val="24"/>
        </w:rPr>
        <w:t>1,46 milhões de toneladas produzidas</w:t>
      </w:r>
      <w:r>
        <w:rPr>
          <w:rFonts w:ascii="Times New Roman" w:hAnsi="Times New Roman" w:cs="Times New Roman"/>
          <w:sz w:val="24"/>
          <w:szCs w:val="24"/>
        </w:rPr>
        <w:t xml:space="preserve"> em 2019, com crescimento de 0,7% entre 2002 e 2019. Em 2019, o estado catarinense represent</w:t>
      </w:r>
      <w:r w:rsidR="00ED7322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mais de 4,0% da</w:t>
      </w:r>
      <w:r w:rsidRPr="00DE2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área em produção de frutas, com 54 mil hectares e gerando em valor bruto da produção (VBP) de mais de R$ 1,5 bilhão, próximo a 3,0% do total brasileiro.</w:t>
      </w:r>
    </w:p>
    <w:p w14:paraId="00686BF4" w14:textId="680C1E29" w:rsidR="00DE2E18" w:rsidRDefault="00DE2E18" w:rsidP="00DE2E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18">
        <w:rPr>
          <w:rFonts w:ascii="Times New Roman" w:hAnsi="Times New Roman" w:cs="Times New Roman"/>
          <w:sz w:val="24"/>
          <w:szCs w:val="24"/>
        </w:rPr>
        <w:t>Em Santa Catarina</w:t>
      </w:r>
      <w:r>
        <w:rPr>
          <w:rFonts w:ascii="Times New Roman" w:hAnsi="Times New Roman" w:cs="Times New Roman"/>
          <w:sz w:val="24"/>
          <w:szCs w:val="24"/>
        </w:rPr>
        <w:t>, na safra 2020/21,</w:t>
      </w:r>
      <w:r w:rsidRPr="00DE2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DE2E18">
        <w:rPr>
          <w:rFonts w:ascii="Times New Roman" w:hAnsi="Times New Roman" w:cs="Times New Roman"/>
          <w:sz w:val="24"/>
          <w:szCs w:val="24"/>
        </w:rPr>
        <w:t xml:space="preserve">principais frutas de clima </w:t>
      </w:r>
      <w:r>
        <w:rPr>
          <w:rFonts w:ascii="Times New Roman" w:hAnsi="Times New Roman" w:cs="Times New Roman"/>
          <w:sz w:val="24"/>
          <w:szCs w:val="24"/>
        </w:rPr>
        <w:t>temperado</w:t>
      </w:r>
      <w:r w:rsidRPr="00DE2E18">
        <w:rPr>
          <w:rFonts w:ascii="Times New Roman" w:hAnsi="Times New Roman" w:cs="Times New Roman"/>
          <w:sz w:val="24"/>
          <w:szCs w:val="24"/>
        </w:rPr>
        <w:t xml:space="preserve"> produzidas representam </w:t>
      </w:r>
      <w:r>
        <w:rPr>
          <w:rFonts w:ascii="Times New Roman" w:hAnsi="Times New Roman" w:cs="Times New Roman"/>
          <w:sz w:val="24"/>
          <w:szCs w:val="24"/>
        </w:rPr>
        <w:t>50,4</w:t>
      </w:r>
      <w:r w:rsidRPr="00DE2E18">
        <w:rPr>
          <w:rFonts w:ascii="Times New Roman" w:hAnsi="Times New Roman" w:cs="Times New Roman"/>
          <w:sz w:val="24"/>
          <w:szCs w:val="24"/>
        </w:rPr>
        <w:t xml:space="preserve">% do total estadual gerando </w:t>
      </w:r>
      <w:r>
        <w:rPr>
          <w:rFonts w:ascii="Times New Roman" w:hAnsi="Times New Roman" w:cs="Times New Roman"/>
          <w:sz w:val="24"/>
          <w:szCs w:val="24"/>
        </w:rPr>
        <w:t>52,5</w:t>
      </w:r>
      <w:r w:rsidRPr="00DE2E18">
        <w:rPr>
          <w:rFonts w:ascii="Times New Roman" w:hAnsi="Times New Roman" w:cs="Times New Roman"/>
          <w:sz w:val="24"/>
          <w:szCs w:val="24"/>
        </w:rPr>
        <w:t xml:space="preserve">% do VBP. </w:t>
      </w:r>
      <w:r>
        <w:rPr>
          <w:rFonts w:ascii="Times New Roman" w:hAnsi="Times New Roman" w:cs="Times New Roman"/>
          <w:sz w:val="24"/>
          <w:szCs w:val="24"/>
        </w:rPr>
        <w:t>A produção de maçã catarinense é destaque com 52% da quantidade produzida brasileira sendo o maior produtor nacional da fruta. A produção de pera é representativa com 33% da produção nacional e a produção de pêssego representa 8% do volume produzido brasileiro. Além dessas frutas produção de uva é importante com sua presença na maioria das regiões estaduais na comercialização de frutas “in natura” e produtos processados, como sucos e vinhos coloniais entre outros. A</w:t>
      </w:r>
      <w:r w:rsidRPr="00DE2E18">
        <w:rPr>
          <w:rFonts w:ascii="Times New Roman" w:hAnsi="Times New Roman" w:cs="Times New Roman"/>
          <w:sz w:val="24"/>
          <w:szCs w:val="24"/>
        </w:rPr>
        <w:t xml:space="preserve">s principais frutas de clima subtropical produzidas representam 49,6% do total estadual gerando 47,5% do VBP. </w:t>
      </w:r>
      <w:r>
        <w:rPr>
          <w:rFonts w:ascii="Times New Roman" w:hAnsi="Times New Roman" w:cs="Times New Roman"/>
          <w:sz w:val="24"/>
          <w:szCs w:val="24"/>
        </w:rPr>
        <w:t xml:space="preserve">A produção de banana catarinense é destaque com 11% da quantidade produzida brasileira e a produção de maracujá com 8% da produção nacional, deixando o estado como quarto </w:t>
      </w:r>
      <w:r w:rsidR="00050E18">
        <w:rPr>
          <w:rFonts w:ascii="Times New Roman" w:hAnsi="Times New Roman" w:cs="Times New Roman"/>
          <w:sz w:val="24"/>
          <w:szCs w:val="24"/>
        </w:rPr>
        <w:t xml:space="preserve">e terceiro </w:t>
      </w:r>
      <w:r>
        <w:rPr>
          <w:rFonts w:ascii="Times New Roman" w:hAnsi="Times New Roman" w:cs="Times New Roman"/>
          <w:sz w:val="24"/>
          <w:szCs w:val="24"/>
        </w:rPr>
        <w:t xml:space="preserve">maior produtor nacional. Além dessas a produção de tangerina e laranja são representativas </w:t>
      </w:r>
      <w:r w:rsidR="003D3B7B">
        <w:rPr>
          <w:rFonts w:ascii="Times New Roman" w:hAnsi="Times New Roman" w:cs="Times New Roman"/>
          <w:sz w:val="24"/>
          <w:szCs w:val="24"/>
        </w:rPr>
        <w:t xml:space="preserve">para a fruticultura estadual </w:t>
      </w:r>
      <w:r>
        <w:rPr>
          <w:rFonts w:ascii="Times New Roman" w:hAnsi="Times New Roman" w:cs="Times New Roman"/>
          <w:sz w:val="24"/>
          <w:szCs w:val="24"/>
        </w:rPr>
        <w:t>no sul e oeste catarinense.</w:t>
      </w:r>
    </w:p>
    <w:p w14:paraId="4102213E" w14:textId="2919BB0F" w:rsidR="00DE2E18" w:rsidRPr="00DE2E18" w:rsidRDefault="00DE2E18" w:rsidP="00DE2E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isso, o objetivo deste trabalho é identificar a participação da lavoura permanente </w:t>
      </w:r>
      <w:r w:rsidR="00ED7322">
        <w:rPr>
          <w:rFonts w:ascii="Times New Roman" w:hAnsi="Times New Roman" w:cs="Times New Roman"/>
          <w:sz w:val="24"/>
          <w:szCs w:val="24"/>
        </w:rPr>
        <w:t xml:space="preserve">da fruticultura </w:t>
      </w:r>
      <w:r>
        <w:rPr>
          <w:rFonts w:ascii="Times New Roman" w:hAnsi="Times New Roman" w:cs="Times New Roman"/>
          <w:sz w:val="24"/>
          <w:szCs w:val="24"/>
        </w:rPr>
        <w:t xml:space="preserve">no total das lavouras estaduais e analisar a dinâmica econômica da produção da fruticultura e das principais frutas nas microrregiões estaduais em relação ao total catarinense </w:t>
      </w:r>
      <w:r w:rsidR="00AA1DC3">
        <w:rPr>
          <w:rFonts w:ascii="Times New Roman" w:hAnsi="Times New Roman" w:cs="Times New Roman"/>
          <w:sz w:val="24"/>
          <w:szCs w:val="24"/>
        </w:rPr>
        <w:t>a partir</w:t>
      </w:r>
      <w:r>
        <w:rPr>
          <w:rFonts w:ascii="Times New Roman" w:hAnsi="Times New Roman" w:cs="Times New Roman"/>
          <w:sz w:val="24"/>
          <w:szCs w:val="24"/>
        </w:rPr>
        <w:t xml:space="preserve"> de indicadores para medir a participação relativa, a concentração e a especialização microrregional e a evolução </w:t>
      </w:r>
      <w:r w:rsidR="00AA1DC3">
        <w:rPr>
          <w:rFonts w:ascii="Times New Roman" w:hAnsi="Times New Roman" w:cs="Times New Roman"/>
          <w:sz w:val="24"/>
          <w:szCs w:val="24"/>
        </w:rPr>
        <w:t xml:space="preserve">dos resultados </w:t>
      </w:r>
      <w:r>
        <w:rPr>
          <w:rFonts w:ascii="Times New Roman" w:hAnsi="Times New Roman" w:cs="Times New Roman"/>
          <w:sz w:val="24"/>
          <w:szCs w:val="24"/>
        </w:rPr>
        <w:t>entre 2002 e 2019.</w:t>
      </w:r>
    </w:p>
    <w:p w14:paraId="213096FF" w14:textId="4105CA06" w:rsidR="00491391" w:rsidRPr="006B2DBA" w:rsidRDefault="00491391" w:rsidP="004913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9581CA" w14:textId="77777777" w:rsidR="00566AFB" w:rsidRPr="006B2DBA" w:rsidRDefault="00566AFB" w:rsidP="004913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0EEC71" w14:textId="14FD6E8A" w:rsidR="00957091" w:rsidRPr="00913811" w:rsidRDefault="00957091" w:rsidP="009570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811">
        <w:rPr>
          <w:rFonts w:ascii="Times New Roman" w:hAnsi="Times New Roman" w:cs="Times New Roman"/>
          <w:b/>
          <w:sz w:val="24"/>
          <w:szCs w:val="24"/>
        </w:rPr>
        <w:lastRenderedPageBreak/>
        <w:t>2 METODOLOGIA DE PESQUISA</w:t>
      </w:r>
    </w:p>
    <w:p w14:paraId="05275E92" w14:textId="0283C48E" w:rsidR="00913811" w:rsidRDefault="00957091" w:rsidP="006B34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1">
        <w:rPr>
          <w:rFonts w:ascii="Times New Roman" w:hAnsi="Times New Roman" w:cs="Times New Roman"/>
          <w:sz w:val="24"/>
          <w:szCs w:val="24"/>
        </w:rPr>
        <w:t>Para este trabalho foi u</w:t>
      </w:r>
      <w:r w:rsidR="00ED7322">
        <w:rPr>
          <w:rFonts w:ascii="Times New Roman" w:hAnsi="Times New Roman" w:cs="Times New Roman"/>
          <w:sz w:val="24"/>
          <w:szCs w:val="24"/>
        </w:rPr>
        <w:t>tiliza</w:t>
      </w:r>
      <w:r w:rsidRPr="00913811">
        <w:rPr>
          <w:rFonts w:ascii="Times New Roman" w:hAnsi="Times New Roman" w:cs="Times New Roman"/>
          <w:sz w:val="24"/>
          <w:szCs w:val="24"/>
        </w:rPr>
        <w:t xml:space="preserve">do </w:t>
      </w:r>
      <w:r w:rsidR="00ED7322">
        <w:rPr>
          <w:rFonts w:ascii="Times New Roman" w:hAnsi="Times New Roman" w:cs="Times New Roman"/>
          <w:sz w:val="24"/>
          <w:szCs w:val="24"/>
        </w:rPr>
        <w:t xml:space="preserve">os </w:t>
      </w:r>
      <w:r w:rsidRPr="00913811">
        <w:rPr>
          <w:rFonts w:ascii="Times New Roman" w:hAnsi="Times New Roman" w:cs="Times New Roman"/>
          <w:sz w:val="24"/>
          <w:szCs w:val="24"/>
        </w:rPr>
        <w:t>método</w:t>
      </w:r>
      <w:r w:rsidR="00ED7322">
        <w:rPr>
          <w:rFonts w:ascii="Times New Roman" w:hAnsi="Times New Roman" w:cs="Times New Roman"/>
          <w:sz w:val="24"/>
          <w:szCs w:val="24"/>
        </w:rPr>
        <w:t>s</w:t>
      </w:r>
      <w:r w:rsidRPr="00913811">
        <w:rPr>
          <w:rFonts w:ascii="Times New Roman" w:hAnsi="Times New Roman" w:cs="Times New Roman"/>
          <w:sz w:val="24"/>
          <w:szCs w:val="24"/>
        </w:rPr>
        <w:t xml:space="preserve"> de pesquisa documental e descritiv</w:t>
      </w:r>
      <w:r w:rsidR="00913811">
        <w:rPr>
          <w:rFonts w:ascii="Times New Roman" w:hAnsi="Times New Roman" w:cs="Times New Roman"/>
          <w:sz w:val="24"/>
          <w:szCs w:val="24"/>
        </w:rPr>
        <w:t>a,</w:t>
      </w:r>
      <w:r w:rsidRPr="00913811">
        <w:rPr>
          <w:rFonts w:ascii="Times New Roman" w:hAnsi="Times New Roman" w:cs="Times New Roman"/>
          <w:sz w:val="24"/>
          <w:szCs w:val="24"/>
        </w:rPr>
        <w:t xml:space="preserve"> a partir de dados</w:t>
      </w:r>
      <w:r w:rsidR="00913811">
        <w:rPr>
          <w:rFonts w:ascii="Times New Roman" w:hAnsi="Times New Roman" w:cs="Times New Roman"/>
          <w:sz w:val="24"/>
          <w:szCs w:val="24"/>
        </w:rPr>
        <w:t xml:space="preserve"> do IBGE, com análise de indicadores estatísticos para identificar a participação da fruticultura e a dinâmica </w:t>
      </w:r>
      <w:r w:rsidR="00041864">
        <w:rPr>
          <w:rFonts w:ascii="Times New Roman" w:hAnsi="Times New Roman" w:cs="Times New Roman"/>
          <w:sz w:val="24"/>
          <w:szCs w:val="24"/>
        </w:rPr>
        <w:t xml:space="preserve">da estrutura produtiva e econômica </w:t>
      </w:r>
      <w:r w:rsidR="00913811">
        <w:rPr>
          <w:rFonts w:ascii="Times New Roman" w:hAnsi="Times New Roman" w:cs="Times New Roman"/>
          <w:sz w:val="24"/>
          <w:szCs w:val="24"/>
        </w:rPr>
        <w:t>do setor e principais frutas produzidas nas microrregiões de Santa Catarina.</w:t>
      </w:r>
    </w:p>
    <w:p w14:paraId="5D919227" w14:textId="3C9F5815" w:rsidR="00957091" w:rsidRPr="00913811" w:rsidRDefault="00913811" w:rsidP="006B34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dados utilizados na pesquisa </w:t>
      </w:r>
      <w:r w:rsidR="004013B4">
        <w:rPr>
          <w:rFonts w:ascii="Times New Roman" w:hAnsi="Times New Roman" w:cs="Times New Roman"/>
          <w:sz w:val="24"/>
          <w:szCs w:val="24"/>
        </w:rPr>
        <w:t>são</w:t>
      </w:r>
      <w:r w:rsidR="002B02D8">
        <w:rPr>
          <w:rFonts w:ascii="Times New Roman" w:hAnsi="Times New Roman" w:cs="Times New Roman"/>
          <w:sz w:val="24"/>
          <w:szCs w:val="24"/>
        </w:rPr>
        <w:t xml:space="preserve"> referentes a evolução do</w:t>
      </w:r>
      <w:r>
        <w:rPr>
          <w:rFonts w:ascii="Times New Roman" w:hAnsi="Times New Roman" w:cs="Times New Roman"/>
          <w:sz w:val="24"/>
          <w:szCs w:val="24"/>
        </w:rPr>
        <w:t xml:space="preserve"> valor bruto da produção </w:t>
      </w:r>
      <w:r w:rsidR="002B02D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VBP</w:t>
      </w:r>
      <w:r w:rsidR="002B02D8">
        <w:rPr>
          <w:rFonts w:ascii="Times New Roman" w:hAnsi="Times New Roman" w:cs="Times New Roman"/>
          <w:sz w:val="24"/>
          <w:szCs w:val="24"/>
        </w:rPr>
        <w:t xml:space="preserve"> relacionado a</w:t>
      </w:r>
      <w:r>
        <w:rPr>
          <w:rFonts w:ascii="Times New Roman" w:hAnsi="Times New Roman" w:cs="Times New Roman"/>
          <w:sz w:val="24"/>
          <w:szCs w:val="24"/>
        </w:rPr>
        <w:t xml:space="preserve"> área colhida, </w:t>
      </w:r>
      <w:r w:rsidR="002B02D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quantidade produzida e </w:t>
      </w:r>
      <w:r w:rsidR="002B02D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produtividade média </w:t>
      </w:r>
      <w:r w:rsidR="00041864">
        <w:rPr>
          <w:rFonts w:ascii="Times New Roman" w:hAnsi="Times New Roman" w:cs="Times New Roman"/>
          <w:sz w:val="24"/>
          <w:szCs w:val="24"/>
        </w:rPr>
        <w:t xml:space="preserve">do total das lavouras,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="00041864">
        <w:rPr>
          <w:rFonts w:ascii="Times New Roman" w:hAnsi="Times New Roman" w:cs="Times New Roman"/>
          <w:sz w:val="24"/>
          <w:szCs w:val="24"/>
        </w:rPr>
        <w:t xml:space="preserve">lavouras permanentes </w:t>
      </w:r>
      <w:r>
        <w:rPr>
          <w:rFonts w:ascii="Times New Roman" w:hAnsi="Times New Roman" w:cs="Times New Roman"/>
          <w:sz w:val="24"/>
          <w:szCs w:val="24"/>
        </w:rPr>
        <w:t xml:space="preserve">e das oito principais frutas </w:t>
      </w:r>
      <w:r w:rsidR="00041864">
        <w:rPr>
          <w:rFonts w:ascii="Times New Roman" w:hAnsi="Times New Roman" w:cs="Times New Roman"/>
          <w:sz w:val="24"/>
          <w:szCs w:val="24"/>
        </w:rPr>
        <w:t xml:space="preserve">na produção catarinense </w:t>
      </w:r>
      <w:r>
        <w:rPr>
          <w:rFonts w:ascii="Times New Roman" w:hAnsi="Times New Roman" w:cs="Times New Roman"/>
          <w:sz w:val="24"/>
          <w:szCs w:val="24"/>
        </w:rPr>
        <w:t xml:space="preserve">(banana, laranja, maçã, maracujá, pera, pêssego, tangerina, uva) </w:t>
      </w:r>
      <w:r w:rsidR="001660F3">
        <w:rPr>
          <w:rFonts w:ascii="Times New Roman" w:hAnsi="Times New Roman" w:cs="Times New Roman"/>
          <w:sz w:val="24"/>
          <w:szCs w:val="24"/>
        </w:rPr>
        <w:t>com base na</w:t>
      </w:r>
      <w:r>
        <w:rPr>
          <w:rFonts w:ascii="Times New Roman" w:hAnsi="Times New Roman" w:cs="Times New Roman"/>
          <w:sz w:val="24"/>
          <w:szCs w:val="24"/>
        </w:rPr>
        <w:t xml:space="preserve"> Pesquisa Agrícola Municipal - PAM (IBGE, 2023) </w:t>
      </w:r>
      <w:r w:rsidR="00041864">
        <w:rPr>
          <w:rFonts w:ascii="Times New Roman" w:hAnsi="Times New Roman" w:cs="Times New Roman"/>
          <w:sz w:val="24"/>
          <w:szCs w:val="24"/>
        </w:rPr>
        <w:t>n</w:t>
      </w:r>
      <w:r w:rsidR="00ED7322">
        <w:rPr>
          <w:rFonts w:ascii="Times New Roman" w:hAnsi="Times New Roman" w:cs="Times New Roman"/>
          <w:sz w:val="24"/>
          <w:szCs w:val="24"/>
        </w:rPr>
        <w:t xml:space="preserve">os anos 2002 </w:t>
      </w:r>
      <w:r>
        <w:rPr>
          <w:rFonts w:ascii="Times New Roman" w:hAnsi="Times New Roman" w:cs="Times New Roman"/>
          <w:sz w:val="24"/>
          <w:szCs w:val="24"/>
        </w:rPr>
        <w:t xml:space="preserve">e 2019. </w:t>
      </w:r>
      <w:r w:rsidR="00E84A1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análise foram calculados os indicadores para identificar a evolução da dinâmica </w:t>
      </w:r>
      <w:r w:rsidR="00041864">
        <w:rPr>
          <w:rFonts w:ascii="Times New Roman" w:hAnsi="Times New Roman" w:cs="Times New Roman"/>
          <w:sz w:val="24"/>
          <w:szCs w:val="24"/>
        </w:rPr>
        <w:t xml:space="preserve">da estrutura produtiva e econômica </w:t>
      </w:r>
      <w:r>
        <w:rPr>
          <w:rFonts w:ascii="Times New Roman" w:hAnsi="Times New Roman" w:cs="Times New Roman"/>
          <w:sz w:val="24"/>
          <w:szCs w:val="24"/>
        </w:rPr>
        <w:t>setorial da fruticultura nas microrregiões do estado, a saber:</w:t>
      </w:r>
      <w:r w:rsidR="00054913">
        <w:rPr>
          <w:rFonts w:ascii="Times New Roman" w:hAnsi="Times New Roman" w:cs="Times New Roman"/>
          <w:sz w:val="24"/>
          <w:szCs w:val="24"/>
        </w:rPr>
        <w:t xml:space="preserve"> </w:t>
      </w:r>
      <w:r w:rsidR="00054913" w:rsidRPr="00E84A12">
        <w:rPr>
          <w:rFonts w:ascii="Times New Roman" w:hAnsi="Times New Roman" w:cs="Times New Roman"/>
          <w:b/>
          <w:sz w:val="24"/>
          <w:szCs w:val="24"/>
        </w:rPr>
        <w:t>(a)</w:t>
      </w:r>
      <w:r w:rsidRPr="00E84A12">
        <w:rPr>
          <w:rFonts w:ascii="Times New Roman" w:hAnsi="Times New Roman" w:cs="Times New Roman"/>
          <w:b/>
          <w:sz w:val="24"/>
          <w:szCs w:val="24"/>
        </w:rPr>
        <w:t xml:space="preserve"> índice de quociente locacional – IQL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48A5">
        <w:rPr>
          <w:rFonts w:ascii="Times New Roman" w:hAnsi="Times New Roman" w:cs="Times New Roman"/>
          <w:sz w:val="24"/>
          <w:szCs w:val="24"/>
        </w:rPr>
        <w:t xml:space="preserve"> </w:t>
      </w:r>
      <w:r w:rsidR="00054913">
        <w:rPr>
          <w:rFonts w:ascii="Times New Roman" w:hAnsi="Times New Roman" w:cs="Times New Roman"/>
          <w:sz w:val="24"/>
          <w:szCs w:val="24"/>
        </w:rPr>
        <w:t xml:space="preserve">para identificar </w:t>
      </w:r>
      <w:r w:rsidR="001543F8">
        <w:rPr>
          <w:rFonts w:ascii="Times New Roman" w:hAnsi="Times New Roman" w:cs="Times New Roman"/>
          <w:sz w:val="24"/>
          <w:szCs w:val="24"/>
        </w:rPr>
        <w:t>o grau de</w:t>
      </w:r>
      <w:r w:rsidR="00054913">
        <w:rPr>
          <w:rFonts w:ascii="Times New Roman" w:hAnsi="Times New Roman" w:cs="Times New Roman"/>
          <w:sz w:val="24"/>
          <w:szCs w:val="24"/>
        </w:rPr>
        <w:t xml:space="preserve"> </w:t>
      </w:r>
      <w:r w:rsidR="001543F8">
        <w:rPr>
          <w:rFonts w:ascii="Times New Roman" w:hAnsi="Times New Roman" w:cs="Times New Roman"/>
          <w:sz w:val="24"/>
          <w:szCs w:val="24"/>
        </w:rPr>
        <w:t xml:space="preserve">especialização </w:t>
      </w:r>
      <w:r w:rsidR="00054913">
        <w:rPr>
          <w:rFonts w:ascii="Times New Roman" w:hAnsi="Times New Roman" w:cs="Times New Roman"/>
          <w:sz w:val="24"/>
          <w:szCs w:val="24"/>
        </w:rPr>
        <w:t>da lavoura permanente entre as microrregiões e o total estadual e entre as diversas frutas nas microrregiões e no total estadual;</w:t>
      </w:r>
      <w:r w:rsidR="00484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913" w:rsidRPr="00E84A12">
        <w:rPr>
          <w:rFonts w:ascii="Times New Roman" w:hAnsi="Times New Roman" w:cs="Times New Roman"/>
          <w:b/>
          <w:sz w:val="24"/>
          <w:szCs w:val="24"/>
        </w:rPr>
        <w:t xml:space="preserve">(b) </w:t>
      </w:r>
      <w:r w:rsidRPr="00E84A12">
        <w:rPr>
          <w:rFonts w:ascii="Times New Roman" w:hAnsi="Times New Roman" w:cs="Times New Roman"/>
          <w:b/>
          <w:sz w:val="24"/>
          <w:szCs w:val="24"/>
        </w:rPr>
        <w:t xml:space="preserve">índice de </w:t>
      </w:r>
      <w:proofErr w:type="spellStart"/>
      <w:r w:rsidRPr="00E84A12">
        <w:rPr>
          <w:rFonts w:ascii="Times New Roman" w:hAnsi="Times New Roman" w:cs="Times New Roman"/>
          <w:b/>
          <w:sz w:val="24"/>
          <w:szCs w:val="24"/>
        </w:rPr>
        <w:t>Herfindahl-Hirschman</w:t>
      </w:r>
      <w:proofErr w:type="spellEnd"/>
      <w:r w:rsidRPr="00E84A12">
        <w:rPr>
          <w:rFonts w:ascii="Times New Roman" w:hAnsi="Times New Roman" w:cs="Times New Roman"/>
          <w:b/>
          <w:sz w:val="24"/>
          <w:szCs w:val="24"/>
        </w:rPr>
        <w:t xml:space="preserve"> modificado – IHH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43F8">
        <w:rPr>
          <w:rFonts w:ascii="Times New Roman" w:hAnsi="Times New Roman" w:cs="Times New Roman"/>
          <w:sz w:val="24"/>
          <w:szCs w:val="24"/>
        </w:rPr>
        <w:t xml:space="preserve"> </w:t>
      </w:r>
      <w:r w:rsidR="00AA1DC3">
        <w:rPr>
          <w:rFonts w:ascii="Times New Roman" w:hAnsi="Times New Roman" w:cs="Times New Roman"/>
          <w:sz w:val="24"/>
          <w:szCs w:val="24"/>
        </w:rPr>
        <w:t>para</w:t>
      </w:r>
      <w:r w:rsidR="005C4C55">
        <w:rPr>
          <w:rFonts w:ascii="Times New Roman" w:hAnsi="Times New Roman" w:cs="Times New Roman"/>
          <w:sz w:val="24"/>
          <w:szCs w:val="24"/>
        </w:rPr>
        <w:t xml:space="preserve"> destacar o grau</w:t>
      </w:r>
      <w:r w:rsidR="001543F8">
        <w:rPr>
          <w:rFonts w:ascii="Times New Roman" w:hAnsi="Times New Roman" w:cs="Times New Roman"/>
          <w:sz w:val="24"/>
          <w:szCs w:val="24"/>
        </w:rPr>
        <w:t xml:space="preserve"> de concentração do setor da fruticultura nas microrregiões estaduais e das frutas entre as microrregiões e o total estadual;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1543F8" w:rsidRPr="00E84A12">
        <w:rPr>
          <w:rFonts w:ascii="Times New Roman" w:hAnsi="Times New Roman" w:cs="Times New Roman"/>
          <w:b/>
          <w:sz w:val="24"/>
          <w:szCs w:val="24"/>
        </w:rPr>
        <w:t xml:space="preserve">(c) </w:t>
      </w:r>
      <w:r w:rsidRPr="00E84A12">
        <w:rPr>
          <w:rFonts w:ascii="Times New Roman" w:hAnsi="Times New Roman" w:cs="Times New Roman"/>
          <w:b/>
          <w:sz w:val="24"/>
          <w:szCs w:val="24"/>
        </w:rPr>
        <w:t>índice de participação relativa – IPR</w:t>
      </w:r>
      <w:r w:rsidR="001543F8">
        <w:rPr>
          <w:rFonts w:ascii="Times New Roman" w:hAnsi="Times New Roman" w:cs="Times New Roman"/>
          <w:sz w:val="24"/>
          <w:szCs w:val="24"/>
        </w:rPr>
        <w:t xml:space="preserve">, para indicar a representatividade da lavoura permanente das frutas nas microrregiões em relação ao </w:t>
      </w:r>
      <w:r w:rsidR="00AA1DC3">
        <w:rPr>
          <w:rFonts w:ascii="Times New Roman" w:hAnsi="Times New Roman" w:cs="Times New Roman"/>
          <w:sz w:val="24"/>
          <w:szCs w:val="24"/>
        </w:rPr>
        <w:t xml:space="preserve">conjunto </w:t>
      </w:r>
      <w:r w:rsidR="001543F8">
        <w:rPr>
          <w:rFonts w:ascii="Times New Roman" w:hAnsi="Times New Roman" w:cs="Times New Roman"/>
          <w:sz w:val="24"/>
          <w:szCs w:val="24"/>
        </w:rPr>
        <w:t xml:space="preserve">estadual </w:t>
      </w:r>
      <w:r w:rsidR="00AA1DC3">
        <w:rPr>
          <w:rFonts w:ascii="Times New Roman" w:hAnsi="Times New Roman" w:cs="Times New Roman"/>
          <w:sz w:val="24"/>
          <w:szCs w:val="24"/>
        </w:rPr>
        <w:t xml:space="preserve">com </w:t>
      </w:r>
      <w:r w:rsidR="001543F8">
        <w:rPr>
          <w:rFonts w:ascii="Times New Roman" w:hAnsi="Times New Roman" w:cs="Times New Roman"/>
          <w:sz w:val="24"/>
          <w:szCs w:val="24"/>
        </w:rPr>
        <w:t>outras lavouras</w:t>
      </w:r>
      <w:r w:rsidR="00AA1DC3">
        <w:rPr>
          <w:rFonts w:ascii="Times New Roman" w:hAnsi="Times New Roman" w:cs="Times New Roman"/>
          <w:sz w:val="24"/>
          <w:szCs w:val="24"/>
        </w:rPr>
        <w:t>.</w:t>
      </w:r>
    </w:p>
    <w:p w14:paraId="4A2EA2C9" w14:textId="77777777" w:rsidR="00406404" w:rsidRPr="006B2DBA" w:rsidRDefault="00406404" w:rsidP="004064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A466AE" w14:textId="77777777" w:rsidR="009170F5" w:rsidRDefault="00957091" w:rsidP="007D4A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64">
        <w:rPr>
          <w:rFonts w:ascii="Times New Roman" w:hAnsi="Times New Roman" w:cs="Times New Roman"/>
          <w:b/>
          <w:sz w:val="24"/>
          <w:szCs w:val="24"/>
        </w:rPr>
        <w:t>3</w:t>
      </w:r>
      <w:r w:rsidR="00A61DBA" w:rsidRPr="00041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864">
        <w:rPr>
          <w:rFonts w:ascii="Times New Roman" w:hAnsi="Times New Roman" w:cs="Times New Roman"/>
          <w:b/>
          <w:sz w:val="24"/>
          <w:szCs w:val="24"/>
        </w:rPr>
        <w:t>RESULTADO E DISCUSSÃO</w:t>
      </w:r>
    </w:p>
    <w:p w14:paraId="5B3782BB" w14:textId="3F661F98" w:rsidR="004013B4" w:rsidRDefault="004013B4" w:rsidP="007D4A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Indicadores de participação, concentração e especialização</w:t>
      </w:r>
    </w:p>
    <w:p w14:paraId="4DFDB99F" w14:textId="4856ACA3" w:rsidR="004013B4" w:rsidRPr="00AA1DC3" w:rsidRDefault="00AA1DC3" w:rsidP="007D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DC3">
        <w:rPr>
          <w:rFonts w:ascii="Times New Roman" w:hAnsi="Times New Roman" w:cs="Times New Roman"/>
          <w:sz w:val="24"/>
          <w:szCs w:val="24"/>
        </w:rPr>
        <w:t xml:space="preserve">Conforme SANTANA e </w:t>
      </w:r>
      <w:r>
        <w:rPr>
          <w:rFonts w:ascii="Times New Roman" w:hAnsi="Times New Roman" w:cs="Times New Roman"/>
          <w:sz w:val="24"/>
          <w:szCs w:val="24"/>
        </w:rPr>
        <w:t xml:space="preserve">SANTANA (2004), </w:t>
      </w:r>
      <w:r w:rsidRPr="00AA1DC3">
        <w:rPr>
          <w:rFonts w:ascii="Times New Roman" w:hAnsi="Times New Roman" w:cs="Times New Roman"/>
          <w:sz w:val="24"/>
          <w:szCs w:val="24"/>
        </w:rPr>
        <w:t>ALVES (2012)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AA1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ALVES, LIMA JR. e PEREIRA (2019)</w:t>
      </w:r>
      <w:r w:rsidRPr="00AA1DC3">
        <w:rPr>
          <w:rFonts w:ascii="Times New Roman" w:hAnsi="Times New Roman" w:cs="Times New Roman"/>
          <w:sz w:val="24"/>
          <w:szCs w:val="24"/>
        </w:rPr>
        <w:t>, se considera que pode haver especialização caso o IQL seja superior a 1, ou seja, o valor do índice da regi</w:t>
      </w:r>
      <w:r w:rsidR="00ED7322">
        <w:rPr>
          <w:rFonts w:ascii="Times New Roman" w:hAnsi="Times New Roman" w:cs="Times New Roman"/>
          <w:sz w:val="24"/>
          <w:szCs w:val="24"/>
        </w:rPr>
        <w:t>ão</w:t>
      </w:r>
      <w:r w:rsidRPr="00AA1DC3">
        <w:rPr>
          <w:rFonts w:ascii="Times New Roman" w:hAnsi="Times New Roman" w:cs="Times New Roman"/>
          <w:sz w:val="24"/>
          <w:szCs w:val="24"/>
        </w:rPr>
        <w:t xml:space="preserve"> é superior ao conjunto das regiões. Mas, a simplicidade e importância do indicador pode provocar distorções entre </w:t>
      </w:r>
      <w:r w:rsidR="00ED7322">
        <w:rPr>
          <w:rFonts w:ascii="Times New Roman" w:hAnsi="Times New Roman" w:cs="Times New Roman"/>
          <w:sz w:val="24"/>
          <w:szCs w:val="24"/>
        </w:rPr>
        <w:t xml:space="preserve">o que representa </w:t>
      </w:r>
      <w:r w:rsidRPr="00AA1DC3">
        <w:rPr>
          <w:rFonts w:ascii="Times New Roman" w:hAnsi="Times New Roman" w:cs="Times New Roman"/>
          <w:sz w:val="24"/>
          <w:szCs w:val="24"/>
        </w:rPr>
        <w:t xml:space="preserve">especialização ou </w:t>
      </w:r>
      <w:r w:rsidR="00ED7322">
        <w:rPr>
          <w:rFonts w:ascii="Times New Roman" w:hAnsi="Times New Roman" w:cs="Times New Roman"/>
          <w:sz w:val="24"/>
          <w:szCs w:val="24"/>
        </w:rPr>
        <w:t xml:space="preserve">apenas </w:t>
      </w:r>
      <w:r w:rsidRPr="00AA1DC3">
        <w:rPr>
          <w:rFonts w:ascii="Times New Roman" w:hAnsi="Times New Roman" w:cs="Times New Roman"/>
          <w:sz w:val="24"/>
          <w:szCs w:val="24"/>
        </w:rPr>
        <w:t xml:space="preserve">diversificação produtiva, </w:t>
      </w:r>
      <w:r w:rsidR="00ED7322">
        <w:rPr>
          <w:rFonts w:ascii="Times New Roman" w:hAnsi="Times New Roman" w:cs="Times New Roman"/>
          <w:sz w:val="24"/>
          <w:szCs w:val="24"/>
        </w:rPr>
        <w:t>devido à</w:t>
      </w:r>
      <w:r w:rsidRPr="00AA1DC3">
        <w:rPr>
          <w:rFonts w:ascii="Times New Roman" w:hAnsi="Times New Roman" w:cs="Times New Roman"/>
          <w:sz w:val="24"/>
          <w:szCs w:val="24"/>
        </w:rPr>
        <w:t xml:space="preserve"> possíveis disparidades </w:t>
      </w:r>
      <w:r w:rsidR="00ED7322">
        <w:rPr>
          <w:rFonts w:ascii="Times New Roman" w:hAnsi="Times New Roman" w:cs="Times New Roman"/>
          <w:sz w:val="24"/>
          <w:szCs w:val="24"/>
        </w:rPr>
        <w:t>regionais</w:t>
      </w:r>
      <w:r w:rsidRPr="00AA1DC3">
        <w:rPr>
          <w:rFonts w:ascii="Times New Roman" w:hAnsi="Times New Roman" w:cs="Times New Roman"/>
          <w:sz w:val="24"/>
          <w:szCs w:val="24"/>
        </w:rPr>
        <w:t xml:space="preserve">. Para atenuar esse problema sugere-se o IHH modificado que visa captar o peso da atividade na estrutura produtiva regional, com índices positivos indicando grau de concentração. Um terceiro indicador </w:t>
      </w:r>
      <w:r w:rsidR="00ED7322">
        <w:rPr>
          <w:rFonts w:ascii="Times New Roman" w:hAnsi="Times New Roman" w:cs="Times New Roman"/>
          <w:sz w:val="24"/>
          <w:szCs w:val="24"/>
        </w:rPr>
        <w:t xml:space="preserve">também </w:t>
      </w:r>
      <w:r w:rsidRPr="00AA1DC3">
        <w:rPr>
          <w:rFonts w:ascii="Times New Roman" w:hAnsi="Times New Roman" w:cs="Times New Roman"/>
          <w:sz w:val="24"/>
          <w:szCs w:val="24"/>
        </w:rPr>
        <w:t xml:space="preserve">é </w:t>
      </w:r>
      <w:r w:rsidR="00ED7322">
        <w:rPr>
          <w:rFonts w:ascii="Times New Roman" w:hAnsi="Times New Roman" w:cs="Times New Roman"/>
          <w:sz w:val="24"/>
          <w:szCs w:val="24"/>
        </w:rPr>
        <w:t>proposto</w:t>
      </w:r>
      <w:r w:rsidRPr="00AA1DC3">
        <w:rPr>
          <w:rFonts w:ascii="Times New Roman" w:hAnsi="Times New Roman" w:cs="Times New Roman"/>
          <w:sz w:val="24"/>
          <w:szCs w:val="24"/>
        </w:rPr>
        <w:t>, o IPR, para captar a importância da atividade regional no total das regiões, ou seja, a participação relativa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A1DC3">
        <w:rPr>
          <w:rFonts w:ascii="Times New Roman" w:hAnsi="Times New Roman" w:cs="Times New Roman"/>
          <w:sz w:val="24"/>
          <w:szCs w:val="24"/>
        </w:rPr>
        <w:t>s atividades regionais no total, com índices acima de 10% (0,10) representando certa relevância</w:t>
      </w:r>
      <w:r w:rsidR="00ED7322">
        <w:rPr>
          <w:rFonts w:ascii="Times New Roman" w:hAnsi="Times New Roman" w:cs="Times New Roman"/>
          <w:sz w:val="24"/>
          <w:szCs w:val="24"/>
        </w:rPr>
        <w:t xml:space="preserve"> (</w:t>
      </w:r>
      <w:r w:rsidR="00ED7322" w:rsidRPr="00AA1DC3">
        <w:rPr>
          <w:rFonts w:ascii="Times New Roman" w:hAnsi="Times New Roman" w:cs="Times New Roman"/>
          <w:sz w:val="24"/>
          <w:szCs w:val="24"/>
        </w:rPr>
        <w:t xml:space="preserve">SANTANA e </w:t>
      </w:r>
      <w:r w:rsidR="00ED7322">
        <w:rPr>
          <w:rFonts w:ascii="Times New Roman" w:hAnsi="Times New Roman" w:cs="Times New Roman"/>
          <w:sz w:val="24"/>
          <w:szCs w:val="24"/>
        </w:rPr>
        <w:t>SANTANA, 2004</w:t>
      </w:r>
      <w:r w:rsidR="00ED7322" w:rsidRPr="00AA1DC3">
        <w:rPr>
          <w:rFonts w:ascii="Times New Roman" w:hAnsi="Times New Roman" w:cs="Times New Roman"/>
          <w:sz w:val="24"/>
          <w:szCs w:val="24"/>
        </w:rPr>
        <w:t>)</w:t>
      </w:r>
      <w:r w:rsidRPr="00AA1DC3">
        <w:rPr>
          <w:rFonts w:ascii="Times New Roman" w:hAnsi="Times New Roman" w:cs="Times New Roman"/>
          <w:sz w:val="24"/>
          <w:szCs w:val="24"/>
        </w:rPr>
        <w:t>.</w:t>
      </w:r>
    </w:p>
    <w:p w14:paraId="582CD672" w14:textId="78DDD1BA" w:rsidR="00AA1DC3" w:rsidRPr="00AA1DC3" w:rsidRDefault="00AA1DC3" w:rsidP="007D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Segundo PENA et.al. (2004) e CASTRO, KUHN e PENA (2017), uma matriz da dinâmica da estrutura produtiva </w:t>
      </w:r>
      <w:r w:rsidR="00ED7322">
        <w:rPr>
          <w:rFonts w:ascii="Times New Roman" w:hAnsi="Times New Roman" w:cs="Times New Roman"/>
          <w:sz w:val="24"/>
          <w:szCs w:val="24"/>
        </w:rPr>
        <w:t>seria indicada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322">
        <w:rPr>
          <w:rFonts w:ascii="Times New Roman" w:hAnsi="Times New Roman" w:cs="Times New Roman"/>
          <w:sz w:val="24"/>
          <w:szCs w:val="24"/>
        </w:rPr>
        <w:t>para um</w:t>
      </w:r>
      <w:r>
        <w:rPr>
          <w:rFonts w:ascii="Times New Roman" w:hAnsi="Times New Roman" w:cs="Times New Roman"/>
          <w:sz w:val="24"/>
          <w:szCs w:val="24"/>
        </w:rPr>
        <w:t xml:space="preserve">a análise agregada a partir dos resultados </w:t>
      </w:r>
      <w:r w:rsidR="00ED7322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corresponde</w:t>
      </w:r>
      <w:r w:rsidR="00ED7322">
        <w:rPr>
          <w:rFonts w:ascii="Times New Roman" w:hAnsi="Times New Roman" w:cs="Times New Roman"/>
          <w:sz w:val="24"/>
          <w:szCs w:val="24"/>
        </w:rPr>
        <w:t>ria</w:t>
      </w:r>
      <w:r>
        <w:rPr>
          <w:rFonts w:ascii="Times New Roman" w:hAnsi="Times New Roman" w:cs="Times New Roman"/>
          <w:sz w:val="24"/>
          <w:szCs w:val="24"/>
        </w:rPr>
        <w:t xml:space="preserve"> ao reconhecimento de tendências sobre o processo de aglomeração produtiva. PENA (2004) apresenta uma metodologia de ajuste e critérios para classificação matricial em que os resultados levam a um ajuste quantitativo seguindo uma lógica teórica de complementação entre as variáveis que definem a dinâmica das estruturas produtivas. A organização dos resultados </w:t>
      </w:r>
      <w:r w:rsidR="0073016A">
        <w:rPr>
          <w:rFonts w:ascii="Times New Roman" w:hAnsi="Times New Roman" w:cs="Times New Roman"/>
          <w:sz w:val="24"/>
          <w:szCs w:val="24"/>
        </w:rPr>
        <w:t>é disposta em</w:t>
      </w:r>
      <w:r>
        <w:rPr>
          <w:rFonts w:ascii="Times New Roman" w:hAnsi="Times New Roman" w:cs="Times New Roman"/>
          <w:sz w:val="24"/>
          <w:szCs w:val="24"/>
        </w:rPr>
        <w:t xml:space="preserve"> quadrantes, que </w:t>
      </w:r>
      <w:r w:rsidR="00FA6CEC">
        <w:rPr>
          <w:rFonts w:ascii="Times New Roman" w:hAnsi="Times New Roman" w:cs="Times New Roman"/>
          <w:sz w:val="24"/>
          <w:szCs w:val="24"/>
        </w:rPr>
        <w:t>revela</w:t>
      </w:r>
      <w:r>
        <w:rPr>
          <w:rFonts w:ascii="Times New Roman" w:hAnsi="Times New Roman" w:cs="Times New Roman"/>
          <w:sz w:val="24"/>
          <w:szCs w:val="24"/>
        </w:rPr>
        <w:t xml:space="preserve"> as alternâncias na dinâmica produtiva a partir da posição dos indicadores relacionados. Neste trabalho</w:t>
      </w:r>
      <w:r w:rsidR="00FA6CEC">
        <w:rPr>
          <w:rFonts w:ascii="Times New Roman" w:hAnsi="Times New Roman" w:cs="Times New Roman"/>
          <w:sz w:val="24"/>
          <w:szCs w:val="24"/>
        </w:rPr>
        <w:t>, para facilitar a interpretação,</w:t>
      </w:r>
      <w:r>
        <w:rPr>
          <w:rFonts w:ascii="Times New Roman" w:hAnsi="Times New Roman" w:cs="Times New Roman"/>
          <w:sz w:val="24"/>
          <w:szCs w:val="24"/>
        </w:rPr>
        <w:t xml:space="preserve"> foram adaptados alguns critérios e nomenclaturas</w:t>
      </w:r>
      <w:r w:rsidR="00FA6CEC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a apresentação </w:t>
      </w:r>
      <w:r w:rsidR="00FA6CEC">
        <w:rPr>
          <w:rFonts w:ascii="Times New Roman" w:hAnsi="Times New Roman" w:cs="Times New Roman"/>
          <w:sz w:val="24"/>
          <w:szCs w:val="24"/>
        </w:rPr>
        <w:t xml:space="preserve">agregada </w:t>
      </w:r>
      <w:r>
        <w:rPr>
          <w:rFonts w:ascii="Times New Roman" w:hAnsi="Times New Roman" w:cs="Times New Roman"/>
          <w:sz w:val="24"/>
          <w:szCs w:val="24"/>
        </w:rPr>
        <w:t>dos resultados de forma gráfica na figura 1-a e 1-b.</w:t>
      </w:r>
    </w:p>
    <w:p w14:paraId="4DC9D3BF" w14:textId="77777777" w:rsidR="00AA1DC3" w:rsidRDefault="00AA1DC3" w:rsidP="007D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2E061" w14:textId="408A7416" w:rsidR="000D01C6" w:rsidRPr="00041864" w:rsidRDefault="000D01C6" w:rsidP="000D01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DC3">
        <w:rPr>
          <w:rFonts w:ascii="Times New Roman" w:hAnsi="Times New Roman" w:cs="Times New Roman"/>
          <w:b/>
          <w:sz w:val="24"/>
          <w:szCs w:val="24"/>
        </w:rPr>
        <w:t>3.</w:t>
      </w:r>
      <w:r w:rsidR="00AC2985" w:rsidRPr="00AA1DC3">
        <w:rPr>
          <w:rFonts w:ascii="Times New Roman" w:hAnsi="Times New Roman" w:cs="Times New Roman"/>
          <w:b/>
          <w:sz w:val="24"/>
          <w:szCs w:val="24"/>
        </w:rPr>
        <w:t>2</w:t>
      </w:r>
      <w:r w:rsidRPr="00AA1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864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dinâmica da f</w:t>
      </w:r>
      <w:r w:rsidRPr="00041864">
        <w:rPr>
          <w:rFonts w:ascii="Times New Roman" w:hAnsi="Times New Roman" w:cs="Times New Roman"/>
          <w:b/>
          <w:sz w:val="24"/>
          <w:szCs w:val="24"/>
        </w:rPr>
        <w:t>ruticultura em Santa Catarina</w:t>
      </w:r>
    </w:p>
    <w:p w14:paraId="09C22ACF" w14:textId="2D16C581" w:rsidR="00DE2E18" w:rsidRDefault="000D01C6" w:rsidP="00622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os anos de 2002 e 2019, a análise da dinâmica produtiva da fruticultura em Santa Catarina indica que as principais microrregiões com representação setorial estadual são: Joaçaba, </w:t>
      </w:r>
      <w:r w:rsidR="00AA1DC3">
        <w:rPr>
          <w:rFonts w:ascii="Times New Roman" w:hAnsi="Times New Roman" w:cs="Times New Roman"/>
          <w:sz w:val="24"/>
          <w:szCs w:val="24"/>
        </w:rPr>
        <w:t xml:space="preserve">Campos de Lages, </w:t>
      </w:r>
      <w:r>
        <w:rPr>
          <w:rFonts w:ascii="Times New Roman" w:hAnsi="Times New Roman" w:cs="Times New Roman"/>
          <w:sz w:val="24"/>
          <w:szCs w:val="24"/>
        </w:rPr>
        <w:t xml:space="preserve">Joinville, </w:t>
      </w:r>
      <w:r w:rsidR="00AA1DC3">
        <w:rPr>
          <w:rFonts w:ascii="Times New Roman" w:hAnsi="Times New Roman" w:cs="Times New Roman"/>
          <w:sz w:val="24"/>
          <w:szCs w:val="24"/>
        </w:rPr>
        <w:t xml:space="preserve">Araranguá, </w:t>
      </w:r>
      <w:r>
        <w:rPr>
          <w:rFonts w:ascii="Times New Roman" w:hAnsi="Times New Roman" w:cs="Times New Roman"/>
          <w:sz w:val="24"/>
          <w:szCs w:val="24"/>
        </w:rPr>
        <w:t>Blumenau</w:t>
      </w:r>
      <w:r w:rsidR="00AA1DC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Itajaí</w:t>
      </w:r>
      <w:r w:rsidR="00AA1DC3">
        <w:rPr>
          <w:rFonts w:ascii="Times New Roman" w:hAnsi="Times New Roman" w:cs="Times New Roman"/>
          <w:sz w:val="24"/>
          <w:szCs w:val="24"/>
        </w:rPr>
        <w:t>.</w:t>
      </w:r>
    </w:p>
    <w:p w14:paraId="56C906E5" w14:textId="1560025D" w:rsidR="00A61DBA" w:rsidRPr="000D01C6" w:rsidRDefault="00AE5034" w:rsidP="00A61D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região de</w:t>
      </w:r>
      <w:r w:rsidR="000D01C6" w:rsidRPr="000D01C6">
        <w:rPr>
          <w:rFonts w:ascii="Times New Roman" w:hAnsi="Times New Roman" w:cs="Times New Roman"/>
          <w:sz w:val="24"/>
          <w:szCs w:val="24"/>
        </w:rPr>
        <w:t xml:space="preserve"> </w:t>
      </w:r>
      <w:r w:rsidR="000D01C6" w:rsidRPr="00AA1DC3">
        <w:rPr>
          <w:rFonts w:ascii="Times New Roman" w:hAnsi="Times New Roman" w:cs="Times New Roman"/>
          <w:b/>
          <w:sz w:val="24"/>
          <w:szCs w:val="24"/>
        </w:rPr>
        <w:t>Joaçaba</w:t>
      </w:r>
      <w:r w:rsidR="000D01C6" w:rsidRPr="000D01C6">
        <w:rPr>
          <w:rFonts w:ascii="Times New Roman" w:hAnsi="Times New Roman" w:cs="Times New Roman"/>
          <w:sz w:val="24"/>
          <w:szCs w:val="24"/>
        </w:rPr>
        <w:t xml:space="preserve"> houve redução na participação</w:t>
      </w:r>
      <w:r w:rsidR="000D01C6">
        <w:rPr>
          <w:rFonts w:ascii="Times New Roman" w:hAnsi="Times New Roman" w:cs="Times New Roman"/>
          <w:sz w:val="24"/>
          <w:szCs w:val="24"/>
        </w:rPr>
        <w:t xml:space="preserve"> da área em produção da fruticultura entre 2002 e 2019 de 4,1%, passando de 21%, em 2002, para 10%, em 2019. A produção acompanhou a redução na área, no mesmo período, com diminuição de 5,3%, passando de 25% da produção, em 2002, para 10%, em 2019. Em relação ao VBP a região apresentou diminuição na participação estadual passando de 40%, em 2002 para 13% em 2019, devido principalmente a migração de culturas com a da maçã para os Campos de Lages. Em relação a concentração e especialização nos resultados da fruticultura estadual, a microrregião de Joaçaba continua no quadrante </w:t>
      </w:r>
      <w:r w:rsidR="00AA1DC3">
        <w:rPr>
          <w:rFonts w:ascii="Times New Roman" w:hAnsi="Times New Roman" w:cs="Times New Roman"/>
          <w:sz w:val="24"/>
          <w:szCs w:val="24"/>
        </w:rPr>
        <w:t xml:space="preserve">dinâmico </w:t>
      </w:r>
      <w:r w:rsidR="00705A84">
        <w:rPr>
          <w:rFonts w:ascii="Times New Roman" w:hAnsi="Times New Roman" w:cs="Times New Roman"/>
          <w:sz w:val="24"/>
          <w:szCs w:val="24"/>
        </w:rPr>
        <w:t>com aumento na participação de culturas como pêssego e uva</w:t>
      </w:r>
      <w:r w:rsidR="000D01C6">
        <w:rPr>
          <w:rFonts w:ascii="Times New Roman" w:hAnsi="Times New Roman" w:cs="Times New Roman"/>
          <w:sz w:val="24"/>
          <w:szCs w:val="24"/>
        </w:rPr>
        <w:t>, mas com menor participação</w:t>
      </w:r>
      <w:r w:rsidR="00705A84">
        <w:rPr>
          <w:rFonts w:ascii="Times New Roman" w:hAnsi="Times New Roman" w:cs="Times New Roman"/>
          <w:sz w:val="24"/>
          <w:szCs w:val="24"/>
        </w:rPr>
        <w:t xml:space="preserve"> no total</w:t>
      </w:r>
      <w:r w:rsidR="000D01C6">
        <w:rPr>
          <w:rFonts w:ascii="Times New Roman" w:hAnsi="Times New Roman" w:cs="Times New Roman"/>
          <w:sz w:val="24"/>
          <w:szCs w:val="24"/>
        </w:rPr>
        <w:t xml:space="preserve"> setorial</w:t>
      </w:r>
      <w:r w:rsidR="007225C2" w:rsidRPr="006B2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5D6E" w:rsidRPr="000D01C6">
        <w:rPr>
          <w:rFonts w:ascii="Times New Roman" w:hAnsi="Times New Roman" w:cs="Times New Roman"/>
          <w:sz w:val="24"/>
          <w:szCs w:val="24"/>
        </w:rPr>
        <w:t>(Figura 1)</w:t>
      </w:r>
      <w:r w:rsidR="00E36B0E" w:rsidRPr="000D01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95B880" w14:textId="27CE27FD" w:rsidR="000D01C6" w:rsidRDefault="000D01C6" w:rsidP="000D0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A84">
        <w:rPr>
          <w:rFonts w:ascii="Times New Roman" w:hAnsi="Times New Roman" w:cs="Times New Roman"/>
          <w:sz w:val="24"/>
          <w:szCs w:val="24"/>
        </w:rPr>
        <w:t xml:space="preserve">Nos </w:t>
      </w:r>
      <w:r w:rsidRPr="00AA1DC3">
        <w:rPr>
          <w:rFonts w:ascii="Times New Roman" w:hAnsi="Times New Roman" w:cs="Times New Roman"/>
          <w:b/>
          <w:sz w:val="24"/>
          <w:szCs w:val="24"/>
        </w:rPr>
        <w:t>Campos de Lages</w:t>
      </w:r>
      <w:r w:rsidRPr="00705A84">
        <w:rPr>
          <w:rFonts w:ascii="Times New Roman" w:hAnsi="Times New Roman" w:cs="Times New Roman"/>
          <w:sz w:val="24"/>
          <w:szCs w:val="24"/>
        </w:rPr>
        <w:t xml:space="preserve"> houve aumento na participação da área em produção da fruticultura entre 2002 e 2019 de 4,</w:t>
      </w:r>
      <w:r w:rsidR="00705A84" w:rsidRPr="00705A84">
        <w:rPr>
          <w:rFonts w:ascii="Times New Roman" w:hAnsi="Times New Roman" w:cs="Times New Roman"/>
          <w:sz w:val="24"/>
          <w:szCs w:val="24"/>
        </w:rPr>
        <w:t>7</w:t>
      </w:r>
      <w:r w:rsidRPr="00705A84">
        <w:rPr>
          <w:rFonts w:ascii="Times New Roman" w:hAnsi="Times New Roman" w:cs="Times New Roman"/>
          <w:sz w:val="24"/>
          <w:szCs w:val="24"/>
        </w:rPr>
        <w:t xml:space="preserve">%, passando de </w:t>
      </w:r>
      <w:r w:rsidR="00705A84" w:rsidRPr="00705A84">
        <w:rPr>
          <w:rFonts w:ascii="Times New Roman" w:hAnsi="Times New Roman" w:cs="Times New Roman"/>
          <w:sz w:val="24"/>
          <w:szCs w:val="24"/>
        </w:rPr>
        <w:t>10</w:t>
      </w:r>
      <w:r w:rsidRPr="00705A84">
        <w:rPr>
          <w:rFonts w:ascii="Times New Roman" w:hAnsi="Times New Roman" w:cs="Times New Roman"/>
          <w:sz w:val="24"/>
          <w:szCs w:val="24"/>
        </w:rPr>
        <w:t xml:space="preserve">%, em 2002, para </w:t>
      </w:r>
      <w:r w:rsidR="00705A84" w:rsidRPr="00705A84">
        <w:rPr>
          <w:rFonts w:ascii="Times New Roman" w:hAnsi="Times New Roman" w:cs="Times New Roman"/>
          <w:sz w:val="24"/>
          <w:szCs w:val="24"/>
        </w:rPr>
        <w:t>23</w:t>
      </w:r>
      <w:r w:rsidRPr="00705A84">
        <w:rPr>
          <w:rFonts w:ascii="Times New Roman" w:hAnsi="Times New Roman" w:cs="Times New Roman"/>
          <w:sz w:val="24"/>
          <w:szCs w:val="24"/>
        </w:rPr>
        <w:t xml:space="preserve">%, em 2019. A produção acompanhou </w:t>
      </w:r>
      <w:r w:rsidR="00705A84" w:rsidRPr="00705A84">
        <w:rPr>
          <w:rFonts w:ascii="Times New Roman" w:hAnsi="Times New Roman" w:cs="Times New Roman"/>
          <w:sz w:val="24"/>
          <w:szCs w:val="24"/>
        </w:rPr>
        <w:t>o acréscimo</w:t>
      </w:r>
      <w:r w:rsidRPr="00705A84">
        <w:rPr>
          <w:rFonts w:ascii="Times New Roman" w:hAnsi="Times New Roman" w:cs="Times New Roman"/>
          <w:sz w:val="24"/>
          <w:szCs w:val="24"/>
        </w:rPr>
        <w:t xml:space="preserve"> na área, com </w:t>
      </w:r>
      <w:r w:rsidR="00705A84" w:rsidRPr="00705A84">
        <w:rPr>
          <w:rFonts w:ascii="Times New Roman" w:hAnsi="Times New Roman" w:cs="Times New Roman"/>
          <w:sz w:val="24"/>
          <w:szCs w:val="24"/>
        </w:rPr>
        <w:t>aumento</w:t>
      </w:r>
      <w:r w:rsidRPr="00705A84">
        <w:rPr>
          <w:rFonts w:ascii="Times New Roman" w:hAnsi="Times New Roman" w:cs="Times New Roman"/>
          <w:sz w:val="24"/>
          <w:szCs w:val="24"/>
        </w:rPr>
        <w:t xml:space="preserve"> de 5,</w:t>
      </w:r>
      <w:r w:rsidR="00705A84" w:rsidRPr="00705A84">
        <w:rPr>
          <w:rFonts w:ascii="Times New Roman" w:hAnsi="Times New Roman" w:cs="Times New Roman"/>
          <w:sz w:val="24"/>
          <w:szCs w:val="24"/>
        </w:rPr>
        <w:t>6</w:t>
      </w:r>
      <w:r w:rsidRPr="00705A84">
        <w:rPr>
          <w:rFonts w:ascii="Times New Roman" w:hAnsi="Times New Roman" w:cs="Times New Roman"/>
          <w:sz w:val="24"/>
          <w:szCs w:val="24"/>
        </w:rPr>
        <w:t xml:space="preserve">%, passando de </w:t>
      </w:r>
      <w:r w:rsidR="00705A84" w:rsidRPr="00705A84">
        <w:rPr>
          <w:rFonts w:ascii="Times New Roman" w:hAnsi="Times New Roman" w:cs="Times New Roman"/>
          <w:sz w:val="24"/>
          <w:szCs w:val="24"/>
        </w:rPr>
        <w:t>13</w:t>
      </w:r>
      <w:r w:rsidRPr="00705A84">
        <w:rPr>
          <w:rFonts w:ascii="Times New Roman" w:hAnsi="Times New Roman" w:cs="Times New Roman"/>
          <w:sz w:val="24"/>
          <w:szCs w:val="24"/>
        </w:rPr>
        <w:t xml:space="preserve">% da produção, em 2002, para </w:t>
      </w:r>
      <w:r w:rsidR="00705A84" w:rsidRPr="00705A84">
        <w:rPr>
          <w:rFonts w:ascii="Times New Roman" w:hAnsi="Times New Roman" w:cs="Times New Roman"/>
          <w:sz w:val="24"/>
          <w:szCs w:val="24"/>
        </w:rPr>
        <w:t>32</w:t>
      </w:r>
      <w:r w:rsidRPr="00705A84">
        <w:rPr>
          <w:rFonts w:ascii="Times New Roman" w:hAnsi="Times New Roman" w:cs="Times New Roman"/>
          <w:sz w:val="24"/>
          <w:szCs w:val="24"/>
        </w:rPr>
        <w:t xml:space="preserve">%, em 2019. Em relação ao VBP a região apresentou </w:t>
      </w:r>
      <w:r w:rsidR="00705A84" w:rsidRPr="00705A84">
        <w:rPr>
          <w:rFonts w:ascii="Times New Roman" w:hAnsi="Times New Roman" w:cs="Times New Roman"/>
          <w:sz w:val="24"/>
          <w:szCs w:val="24"/>
        </w:rPr>
        <w:t>ganho</w:t>
      </w:r>
      <w:r w:rsidRPr="00705A84">
        <w:rPr>
          <w:rFonts w:ascii="Times New Roman" w:hAnsi="Times New Roman" w:cs="Times New Roman"/>
          <w:sz w:val="24"/>
          <w:szCs w:val="24"/>
        </w:rPr>
        <w:t xml:space="preserve"> na participação estadual passando de </w:t>
      </w:r>
      <w:r w:rsidR="00705A84" w:rsidRPr="00705A84">
        <w:rPr>
          <w:rFonts w:ascii="Times New Roman" w:hAnsi="Times New Roman" w:cs="Times New Roman"/>
          <w:sz w:val="24"/>
          <w:szCs w:val="24"/>
        </w:rPr>
        <w:t>18</w:t>
      </w:r>
      <w:r w:rsidRPr="00705A84">
        <w:rPr>
          <w:rFonts w:ascii="Times New Roman" w:hAnsi="Times New Roman" w:cs="Times New Roman"/>
          <w:sz w:val="24"/>
          <w:szCs w:val="24"/>
        </w:rPr>
        <w:t xml:space="preserve">%, em 2002 para </w:t>
      </w:r>
      <w:r w:rsidR="00705A84" w:rsidRPr="00705A84">
        <w:rPr>
          <w:rFonts w:ascii="Times New Roman" w:hAnsi="Times New Roman" w:cs="Times New Roman"/>
          <w:sz w:val="24"/>
          <w:szCs w:val="24"/>
        </w:rPr>
        <w:t>40</w:t>
      </w:r>
      <w:r w:rsidRPr="00705A84">
        <w:rPr>
          <w:rFonts w:ascii="Times New Roman" w:hAnsi="Times New Roman" w:cs="Times New Roman"/>
          <w:sz w:val="24"/>
          <w:szCs w:val="24"/>
        </w:rPr>
        <w:t xml:space="preserve">% em 2019, devido principalmente </w:t>
      </w:r>
      <w:r w:rsidR="00705A84" w:rsidRPr="00705A84">
        <w:rPr>
          <w:rFonts w:ascii="Times New Roman" w:hAnsi="Times New Roman" w:cs="Times New Roman"/>
          <w:sz w:val="24"/>
          <w:szCs w:val="24"/>
        </w:rPr>
        <w:t>à</w:t>
      </w:r>
      <w:r w:rsidRPr="00705A84">
        <w:rPr>
          <w:rFonts w:ascii="Times New Roman" w:hAnsi="Times New Roman" w:cs="Times New Roman"/>
          <w:sz w:val="24"/>
          <w:szCs w:val="24"/>
        </w:rPr>
        <w:t xml:space="preserve"> </w:t>
      </w:r>
      <w:r w:rsidR="00705A84" w:rsidRPr="00705A84">
        <w:rPr>
          <w:rFonts w:ascii="Times New Roman" w:hAnsi="Times New Roman" w:cs="Times New Roman"/>
          <w:sz w:val="24"/>
          <w:szCs w:val="24"/>
        </w:rPr>
        <w:t xml:space="preserve">expansão </w:t>
      </w:r>
      <w:r w:rsidRPr="00705A84">
        <w:rPr>
          <w:rFonts w:ascii="Times New Roman" w:hAnsi="Times New Roman" w:cs="Times New Roman"/>
          <w:sz w:val="24"/>
          <w:szCs w:val="24"/>
        </w:rPr>
        <w:t>de culturas com</w:t>
      </w:r>
      <w:r w:rsidR="00705A84" w:rsidRPr="00705A84">
        <w:rPr>
          <w:rFonts w:ascii="Times New Roman" w:hAnsi="Times New Roman" w:cs="Times New Roman"/>
          <w:sz w:val="24"/>
          <w:szCs w:val="24"/>
        </w:rPr>
        <w:t>o</w:t>
      </w:r>
      <w:r w:rsidRPr="00705A84">
        <w:rPr>
          <w:rFonts w:ascii="Times New Roman" w:hAnsi="Times New Roman" w:cs="Times New Roman"/>
          <w:sz w:val="24"/>
          <w:szCs w:val="24"/>
        </w:rPr>
        <w:t xml:space="preserve"> a da maçã</w:t>
      </w:r>
      <w:r w:rsidR="00705A84" w:rsidRPr="00705A84">
        <w:rPr>
          <w:rFonts w:ascii="Times New Roman" w:hAnsi="Times New Roman" w:cs="Times New Roman"/>
          <w:sz w:val="24"/>
          <w:szCs w:val="24"/>
        </w:rPr>
        <w:t>, pera e uva</w:t>
      </w:r>
      <w:r w:rsidRPr="00705A84">
        <w:rPr>
          <w:rFonts w:ascii="Times New Roman" w:hAnsi="Times New Roman" w:cs="Times New Roman"/>
          <w:sz w:val="24"/>
          <w:szCs w:val="24"/>
        </w:rPr>
        <w:t xml:space="preserve"> </w:t>
      </w:r>
      <w:r w:rsidR="00705A84" w:rsidRPr="00705A84">
        <w:rPr>
          <w:rFonts w:ascii="Times New Roman" w:hAnsi="Times New Roman" w:cs="Times New Roman"/>
          <w:sz w:val="24"/>
          <w:szCs w:val="24"/>
        </w:rPr>
        <w:t>para a região</w:t>
      </w:r>
      <w:r w:rsidRPr="00705A84">
        <w:rPr>
          <w:rFonts w:ascii="Times New Roman" w:hAnsi="Times New Roman" w:cs="Times New Roman"/>
          <w:sz w:val="24"/>
          <w:szCs w:val="24"/>
        </w:rPr>
        <w:t xml:space="preserve">. Em relação a concentração e especialização nos resultados econômicos da fruticultura estadual, a microrregião </w:t>
      </w:r>
      <w:r w:rsidR="00705A84" w:rsidRPr="00705A84">
        <w:rPr>
          <w:rFonts w:ascii="Times New Roman" w:hAnsi="Times New Roman" w:cs="Times New Roman"/>
          <w:sz w:val="24"/>
          <w:szCs w:val="24"/>
        </w:rPr>
        <w:t>dos Campos de Lages</w:t>
      </w:r>
      <w:r w:rsidRPr="00705A84">
        <w:rPr>
          <w:rFonts w:ascii="Times New Roman" w:hAnsi="Times New Roman" w:cs="Times New Roman"/>
          <w:sz w:val="24"/>
          <w:szCs w:val="24"/>
        </w:rPr>
        <w:t xml:space="preserve"> </w:t>
      </w:r>
      <w:r w:rsidR="00705A84" w:rsidRPr="00705A84">
        <w:rPr>
          <w:rFonts w:ascii="Times New Roman" w:hAnsi="Times New Roman" w:cs="Times New Roman"/>
          <w:sz w:val="24"/>
          <w:szCs w:val="24"/>
        </w:rPr>
        <w:t xml:space="preserve">apresentou </w:t>
      </w:r>
      <w:r w:rsidR="004970D8">
        <w:rPr>
          <w:rFonts w:ascii="Times New Roman" w:hAnsi="Times New Roman" w:cs="Times New Roman"/>
          <w:sz w:val="24"/>
          <w:szCs w:val="24"/>
        </w:rPr>
        <w:t xml:space="preserve">grande </w:t>
      </w:r>
      <w:r w:rsidR="00705A84" w:rsidRPr="00705A84">
        <w:rPr>
          <w:rFonts w:ascii="Times New Roman" w:hAnsi="Times New Roman" w:cs="Times New Roman"/>
          <w:sz w:val="24"/>
          <w:szCs w:val="24"/>
        </w:rPr>
        <w:t xml:space="preserve">crescimento </w:t>
      </w:r>
      <w:r w:rsidRPr="00705A84">
        <w:rPr>
          <w:rFonts w:ascii="Times New Roman" w:hAnsi="Times New Roman" w:cs="Times New Roman"/>
          <w:sz w:val="24"/>
          <w:szCs w:val="24"/>
        </w:rPr>
        <w:t xml:space="preserve">no quadrante </w:t>
      </w:r>
      <w:r w:rsidR="00AA1DC3">
        <w:rPr>
          <w:rFonts w:ascii="Times New Roman" w:hAnsi="Times New Roman" w:cs="Times New Roman"/>
          <w:sz w:val="24"/>
          <w:szCs w:val="24"/>
        </w:rPr>
        <w:t>dinâmico</w:t>
      </w:r>
      <w:r w:rsidRPr="00705A84">
        <w:rPr>
          <w:rFonts w:ascii="Times New Roman" w:hAnsi="Times New Roman" w:cs="Times New Roman"/>
          <w:sz w:val="24"/>
          <w:szCs w:val="24"/>
        </w:rPr>
        <w:t xml:space="preserve">, </w:t>
      </w:r>
      <w:r w:rsidR="00705A84" w:rsidRPr="00705A84">
        <w:rPr>
          <w:rFonts w:ascii="Times New Roman" w:hAnsi="Times New Roman" w:cs="Times New Roman"/>
          <w:sz w:val="24"/>
          <w:szCs w:val="24"/>
        </w:rPr>
        <w:t>com aumento na</w:t>
      </w:r>
      <w:r w:rsidRPr="00705A84">
        <w:rPr>
          <w:rFonts w:ascii="Times New Roman" w:hAnsi="Times New Roman" w:cs="Times New Roman"/>
          <w:sz w:val="24"/>
          <w:szCs w:val="24"/>
        </w:rPr>
        <w:t xml:space="preserve"> pa</w:t>
      </w:r>
      <w:r w:rsidR="00AA1DC3">
        <w:rPr>
          <w:rFonts w:ascii="Times New Roman" w:hAnsi="Times New Roman" w:cs="Times New Roman"/>
          <w:sz w:val="24"/>
          <w:szCs w:val="24"/>
        </w:rPr>
        <w:t>rticipação setorial (Figura 1).</w:t>
      </w:r>
    </w:p>
    <w:p w14:paraId="626778B7" w14:textId="11D129D7" w:rsidR="00AE5034" w:rsidRPr="00AE5034" w:rsidRDefault="00AE5034" w:rsidP="00AE5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034">
        <w:rPr>
          <w:rFonts w:ascii="Times New Roman" w:hAnsi="Times New Roman" w:cs="Times New Roman"/>
          <w:sz w:val="24"/>
          <w:szCs w:val="24"/>
        </w:rPr>
        <w:lastRenderedPageBreak/>
        <w:t xml:space="preserve">Na região de </w:t>
      </w:r>
      <w:r w:rsidRPr="00AA1DC3">
        <w:rPr>
          <w:rFonts w:ascii="Times New Roman" w:hAnsi="Times New Roman" w:cs="Times New Roman"/>
          <w:b/>
          <w:sz w:val="24"/>
          <w:szCs w:val="24"/>
        </w:rPr>
        <w:t>Joinville</w:t>
      </w:r>
      <w:r w:rsidRPr="00AE5034">
        <w:rPr>
          <w:rFonts w:ascii="Times New Roman" w:hAnsi="Times New Roman" w:cs="Times New Roman"/>
          <w:sz w:val="24"/>
          <w:szCs w:val="24"/>
        </w:rPr>
        <w:t xml:space="preserve"> houve aumento na participação da área em produção da fruticultura entre 2002 </w:t>
      </w:r>
      <w:r w:rsidR="004970D8">
        <w:rPr>
          <w:rFonts w:ascii="Times New Roman" w:hAnsi="Times New Roman" w:cs="Times New Roman"/>
          <w:sz w:val="24"/>
          <w:szCs w:val="24"/>
        </w:rPr>
        <w:t xml:space="preserve">e 2019 de 0,6%, passando de 19%, em 2002, para 25% </w:t>
      </w:r>
      <w:r w:rsidRPr="00AE5034">
        <w:rPr>
          <w:rFonts w:ascii="Times New Roman" w:hAnsi="Times New Roman" w:cs="Times New Roman"/>
          <w:sz w:val="24"/>
          <w:szCs w:val="24"/>
        </w:rPr>
        <w:t>em 2019. A produção acompanhou o aumento na área, com leve acréscimo de 0,9%, passando de 24% da produção, em 2002, para 25%, em 2019. Mas, em relação ao VBP a região apresentou diminuição na participação estadual passando de 13%, em 2002</w:t>
      </w:r>
      <w:r w:rsidR="004970D8">
        <w:rPr>
          <w:rFonts w:ascii="Times New Roman" w:hAnsi="Times New Roman" w:cs="Times New Roman"/>
          <w:sz w:val="24"/>
          <w:szCs w:val="24"/>
        </w:rPr>
        <w:t>,</w:t>
      </w:r>
      <w:r w:rsidRPr="00AE5034">
        <w:rPr>
          <w:rFonts w:ascii="Times New Roman" w:hAnsi="Times New Roman" w:cs="Times New Roman"/>
          <w:sz w:val="24"/>
          <w:szCs w:val="24"/>
        </w:rPr>
        <w:t xml:space="preserve"> para 11% em 2019</w:t>
      </w:r>
      <w:r w:rsidR="006640B0">
        <w:rPr>
          <w:rFonts w:ascii="Times New Roman" w:hAnsi="Times New Roman" w:cs="Times New Roman"/>
          <w:sz w:val="24"/>
          <w:szCs w:val="24"/>
        </w:rPr>
        <w:t>,</w:t>
      </w:r>
      <w:r w:rsidRPr="00AE5034">
        <w:rPr>
          <w:rFonts w:ascii="Times New Roman" w:hAnsi="Times New Roman" w:cs="Times New Roman"/>
          <w:sz w:val="24"/>
          <w:szCs w:val="24"/>
        </w:rPr>
        <w:t xml:space="preserve"> devido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AE5034">
        <w:rPr>
          <w:rFonts w:ascii="Times New Roman" w:hAnsi="Times New Roman" w:cs="Times New Roman"/>
          <w:sz w:val="24"/>
          <w:szCs w:val="24"/>
        </w:rPr>
        <w:t xml:space="preserve"> redução nos valores das cotações </w:t>
      </w:r>
      <w:r>
        <w:rPr>
          <w:rFonts w:ascii="Times New Roman" w:hAnsi="Times New Roman" w:cs="Times New Roman"/>
          <w:sz w:val="24"/>
          <w:szCs w:val="24"/>
        </w:rPr>
        <w:t>das principais culturas da</w:t>
      </w:r>
      <w:r w:rsidRPr="00AE5034">
        <w:rPr>
          <w:rFonts w:ascii="Times New Roman" w:hAnsi="Times New Roman" w:cs="Times New Roman"/>
          <w:sz w:val="24"/>
          <w:szCs w:val="24"/>
        </w:rPr>
        <w:t xml:space="preserve"> banana 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AE5034">
        <w:rPr>
          <w:rFonts w:ascii="Times New Roman" w:hAnsi="Times New Roman" w:cs="Times New Roman"/>
          <w:sz w:val="24"/>
          <w:szCs w:val="24"/>
        </w:rPr>
        <w:t>maracujá no período.</w:t>
      </w:r>
      <w:r w:rsidRPr="00AE503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AE5034">
        <w:rPr>
          <w:rFonts w:ascii="Times New Roman" w:hAnsi="Times New Roman" w:cs="Times New Roman"/>
          <w:sz w:val="24"/>
          <w:szCs w:val="24"/>
        </w:rPr>
        <w:t>Em relação a concentração e especialização nos resultados econômicos da fruticultura estadual, a microrregião de Joinville continua dinâmica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DC3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bananicultura</w:t>
      </w:r>
      <w:r w:rsidRPr="00AE5034">
        <w:rPr>
          <w:rFonts w:ascii="Times New Roman" w:hAnsi="Times New Roman" w:cs="Times New Roman"/>
          <w:sz w:val="24"/>
          <w:szCs w:val="24"/>
        </w:rPr>
        <w:t xml:space="preserve">, mas com diversificação </w:t>
      </w:r>
      <w:r w:rsidR="004970D8">
        <w:rPr>
          <w:rFonts w:ascii="Times New Roman" w:hAnsi="Times New Roman" w:cs="Times New Roman"/>
          <w:sz w:val="24"/>
          <w:szCs w:val="24"/>
        </w:rPr>
        <w:t>a partir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034">
        <w:rPr>
          <w:rFonts w:ascii="Times New Roman" w:hAnsi="Times New Roman" w:cs="Times New Roman"/>
          <w:sz w:val="24"/>
          <w:szCs w:val="24"/>
        </w:rPr>
        <w:t>ampliação na participação de culturas como maracujá e tangerina</w:t>
      </w:r>
      <w:r w:rsidR="004970D8">
        <w:rPr>
          <w:rFonts w:ascii="Times New Roman" w:hAnsi="Times New Roman" w:cs="Times New Roman"/>
          <w:sz w:val="24"/>
          <w:szCs w:val="24"/>
        </w:rPr>
        <w:t>, ainda,</w:t>
      </w:r>
      <w:r w:rsidRPr="00AE5034">
        <w:rPr>
          <w:rFonts w:ascii="Times New Roman" w:hAnsi="Times New Roman" w:cs="Times New Roman"/>
          <w:sz w:val="24"/>
          <w:szCs w:val="24"/>
        </w:rPr>
        <w:t xml:space="preserve"> com menor especialização estadual (Figura 1). </w:t>
      </w:r>
    </w:p>
    <w:p w14:paraId="28018C59" w14:textId="6FE828FB" w:rsidR="00705A84" w:rsidRDefault="00AE5034" w:rsidP="00705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B9">
        <w:rPr>
          <w:rFonts w:ascii="Times New Roman" w:hAnsi="Times New Roman" w:cs="Times New Roman"/>
          <w:sz w:val="24"/>
          <w:szCs w:val="24"/>
        </w:rPr>
        <w:t xml:space="preserve">Na região de </w:t>
      </w:r>
      <w:r w:rsidRPr="00AA1DC3">
        <w:rPr>
          <w:rFonts w:ascii="Times New Roman" w:hAnsi="Times New Roman" w:cs="Times New Roman"/>
          <w:b/>
          <w:sz w:val="24"/>
          <w:szCs w:val="24"/>
        </w:rPr>
        <w:t>Araranguá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 houve aumento na participação da área em produção da fruticultura entre 2002 e 2019 de </w:t>
      </w:r>
      <w:r w:rsidR="00A250B9" w:rsidRPr="00A250B9">
        <w:rPr>
          <w:rFonts w:ascii="Times New Roman" w:hAnsi="Times New Roman" w:cs="Times New Roman"/>
          <w:sz w:val="24"/>
          <w:szCs w:val="24"/>
        </w:rPr>
        <w:t>0,9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%, passando de 10%, em 2002, para </w:t>
      </w:r>
      <w:r w:rsidR="00A250B9" w:rsidRPr="00A250B9">
        <w:rPr>
          <w:rFonts w:ascii="Times New Roman" w:hAnsi="Times New Roman" w:cs="Times New Roman"/>
          <w:sz w:val="24"/>
          <w:szCs w:val="24"/>
        </w:rPr>
        <w:t>1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3%, em 2019. A produção </w:t>
      </w:r>
      <w:r w:rsidR="00A250B9" w:rsidRPr="00A250B9">
        <w:rPr>
          <w:rFonts w:ascii="Times New Roman" w:hAnsi="Times New Roman" w:cs="Times New Roman"/>
          <w:sz w:val="24"/>
          <w:szCs w:val="24"/>
        </w:rPr>
        <w:t>apresentou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 acréscimo </w:t>
      </w:r>
      <w:r w:rsidR="00A250B9" w:rsidRPr="00A250B9">
        <w:rPr>
          <w:rFonts w:ascii="Times New Roman" w:hAnsi="Times New Roman" w:cs="Times New Roman"/>
          <w:sz w:val="24"/>
          <w:szCs w:val="24"/>
        </w:rPr>
        <w:t>expressivo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, com aumento de </w:t>
      </w:r>
      <w:r w:rsidR="00A250B9" w:rsidRPr="00A250B9">
        <w:rPr>
          <w:rFonts w:ascii="Times New Roman" w:hAnsi="Times New Roman" w:cs="Times New Roman"/>
          <w:sz w:val="24"/>
          <w:szCs w:val="24"/>
        </w:rPr>
        <w:t>4,7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%, passando de </w:t>
      </w:r>
      <w:r w:rsidR="00A250B9" w:rsidRPr="00A250B9">
        <w:rPr>
          <w:rFonts w:ascii="Times New Roman" w:hAnsi="Times New Roman" w:cs="Times New Roman"/>
          <w:sz w:val="24"/>
          <w:szCs w:val="24"/>
        </w:rPr>
        <w:t>4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% da produção, em 2002, para </w:t>
      </w:r>
      <w:r w:rsidR="00A250B9" w:rsidRPr="00A250B9">
        <w:rPr>
          <w:rFonts w:ascii="Times New Roman" w:hAnsi="Times New Roman" w:cs="Times New Roman"/>
          <w:sz w:val="24"/>
          <w:szCs w:val="24"/>
        </w:rPr>
        <w:t>7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%, em 2019. Em relação ao VBP a região apresentou ganho na participação estadual </w:t>
      </w:r>
      <w:r w:rsidR="00A250B9" w:rsidRPr="00A250B9">
        <w:rPr>
          <w:rFonts w:ascii="Times New Roman" w:hAnsi="Times New Roman" w:cs="Times New Roman"/>
          <w:sz w:val="24"/>
          <w:szCs w:val="24"/>
        </w:rPr>
        <w:t xml:space="preserve">de 18,9%, 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passando de </w:t>
      </w:r>
      <w:r w:rsidR="00A250B9" w:rsidRPr="00A250B9">
        <w:rPr>
          <w:rFonts w:ascii="Times New Roman" w:hAnsi="Times New Roman" w:cs="Times New Roman"/>
          <w:sz w:val="24"/>
          <w:szCs w:val="24"/>
        </w:rPr>
        <w:t>2</w:t>
      </w:r>
      <w:r w:rsidR="00705A84" w:rsidRPr="00A250B9">
        <w:rPr>
          <w:rFonts w:ascii="Times New Roman" w:hAnsi="Times New Roman" w:cs="Times New Roman"/>
          <w:sz w:val="24"/>
          <w:szCs w:val="24"/>
        </w:rPr>
        <w:t>%, em 2002</w:t>
      </w:r>
      <w:r w:rsidR="006640B0">
        <w:rPr>
          <w:rFonts w:ascii="Times New Roman" w:hAnsi="Times New Roman" w:cs="Times New Roman"/>
          <w:sz w:val="24"/>
          <w:szCs w:val="24"/>
        </w:rPr>
        <w:t>,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 para </w:t>
      </w:r>
      <w:r w:rsidR="00A250B9" w:rsidRPr="00A250B9">
        <w:rPr>
          <w:rFonts w:ascii="Times New Roman" w:hAnsi="Times New Roman" w:cs="Times New Roman"/>
          <w:sz w:val="24"/>
          <w:szCs w:val="24"/>
        </w:rPr>
        <w:t>1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0% em 2019, devido principalmente à expansão </w:t>
      </w:r>
      <w:r w:rsidR="00A250B9" w:rsidRPr="00A250B9">
        <w:rPr>
          <w:rFonts w:ascii="Times New Roman" w:hAnsi="Times New Roman" w:cs="Times New Roman"/>
          <w:sz w:val="24"/>
          <w:szCs w:val="24"/>
        </w:rPr>
        <w:t>das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 culturas </w:t>
      </w:r>
      <w:r w:rsidR="00A250B9" w:rsidRPr="00A250B9">
        <w:rPr>
          <w:rFonts w:ascii="Times New Roman" w:hAnsi="Times New Roman" w:cs="Times New Roman"/>
          <w:sz w:val="24"/>
          <w:szCs w:val="24"/>
        </w:rPr>
        <w:t>do maracujá e banana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 </w:t>
      </w:r>
      <w:r w:rsidR="00A250B9" w:rsidRPr="00A250B9">
        <w:rPr>
          <w:rFonts w:ascii="Times New Roman" w:hAnsi="Times New Roman" w:cs="Times New Roman"/>
          <w:sz w:val="24"/>
          <w:szCs w:val="24"/>
        </w:rPr>
        <w:t>n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a região. Em relação a concentração e especialização nos resultados econômicos estadual, a microrregião </w:t>
      </w:r>
      <w:r w:rsidR="00A250B9" w:rsidRPr="00A250B9">
        <w:rPr>
          <w:rFonts w:ascii="Times New Roman" w:hAnsi="Times New Roman" w:cs="Times New Roman"/>
          <w:sz w:val="24"/>
          <w:szCs w:val="24"/>
        </w:rPr>
        <w:t>Araranguá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 apresentou crescimento </w:t>
      </w:r>
      <w:r w:rsidR="00A250B9" w:rsidRPr="00A250B9">
        <w:rPr>
          <w:rFonts w:ascii="Times New Roman" w:hAnsi="Times New Roman" w:cs="Times New Roman"/>
          <w:sz w:val="24"/>
          <w:szCs w:val="24"/>
        </w:rPr>
        <w:t xml:space="preserve">com evolução do quadrante </w:t>
      </w:r>
      <w:r w:rsidR="00AA1DC3">
        <w:rPr>
          <w:rFonts w:ascii="Times New Roman" w:hAnsi="Times New Roman" w:cs="Times New Roman"/>
          <w:sz w:val="24"/>
          <w:szCs w:val="24"/>
        </w:rPr>
        <w:t>de expansão</w:t>
      </w:r>
      <w:r w:rsidR="00A250B9" w:rsidRPr="00A250B9">
        <w:rPr>
          <w:rFonts w:ascii="Times New Roman" w:hAnsi="Times New Roman" w:cs="Times New Roman"/>
          <w:sz w:val="24"/>
          <w:szCs w:val="24"/>
        </w:rPr>
        <w:t xml:space="preserve"> para o </w:t>
      </w:r>
      <w:r w:rsidR="00AA1DC3">
        <w:rPr>
          <w:rFonts w:ascii="Times New Roman" w:hAnsi="Times New Roman" w:cs="Times New Roman"/>
          <w:sz w:val="24"/>
          <w:szCs w:val="24"/>
        </w:rPr>
        <w:t>dinâmico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, com </w:t>
      </w:r>
      <w:r w:rsidR="006640B0">
        <w:rPr>
          <w:rFonts w:ascii="Times New Roman" w:hAnsi="Times New Roman" w:cs="Times New Roman"/>
          <w:sz w:val="24"/>
          <w:szCs w:val="24"/>
        </w:rPr>
        <w:t xml:space="preserve">grande </w:t>
      </w:r>
      <w:r w:rsidR="00705A84" w:rsidRPr="00A250B9">
        <w:rPr>
          <w:rFonts w:ascii="Times New Roman" w:hAnsi="Times New Roman" w:cs="Times New Roman"/>
          <w:sz w:val="24"/>
          <w:szCs w:val="24"/>
        </w:rPr>
        <w:t xml:space="preserve">aumento na participação setorial (Figura 1). </w:t>
      </w:r>
    </w:p>
    <w:p w14:paraId="786D7C9F" w14:textId="79149E1F" w:rsidR="00A250B9" w:rsidRPr="00A250B9" w:rsidRDefault="00A250B9" w:rsidP="00705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Outras microrregiões com destaque são as de </w:t>
      </w:r>
      <w:r w:rsidRPr="00AA1DC3">
        <w:rPr>
          <w:rFonts w:ascii="Times New Roman" w:hAnsi="Times New Roman" w:cs="Times New Roman"/>
          <w:b/>
          <w:sz w:val="24"/>
          <w:szCs w:val="24"/>
        </w:rPr>
        <w:t>Itajaí e Blumenau</w:t>
      </w:r>
      <w:r>
        <w:rPr>
          <w:rFonts w:ascii="Times New Roman" w:hAnsi="Times New Roman" w:cs="Times New Roman"/>
          <w:sz w:val="24"/>
          <w:szCs w:val="24"/>
        </w:rPr>
        <w:t xml:space="preserve"> com aumento </w:t>
      </w:r>
      <w:r w:rsidR="006640B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participação </w:t>
      </w:r>
      <w:r w:rsidR="00AA1DC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fruticultura catarinense, entre 2002 e 2019, com maior expansão dos resultados econômicos, principalmente </w:t>
      </w:r>
      <w:r w:rsidR="006640B0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A9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bana</w:t>
      </w:r>
      <w:r w:rsidR="00AA1DC3">
        <w:rPr>
          <w:rFonts w:ascii="Times New Roman" w:hAnsi="Times New Roman" w:cs="Times New Roman"/>
          <w:sz w:val="24"/>
          <w:szCs w:val="24"/>
        </w:rPr>
        <w:t xml:space="preserve">na, </w:t>
      </w:r>
      <w:r w:rsidR="00A86A99">
        <w:rPr>
          <w:rFonts w:ascii="Times New Roman" w:hAnsi="Times New Roman" w:cs="Times New Roman"/>
          <w:sz w:val="24"/>
          <w:szCs w:val="24"/>
        </w:rPr>
        <w:t xml:space="preserve">a </w:t>
      </w:r>
      <w:r w:rsidR="00AA1DC3">
        <w:rPr>
          <w:rFonts w:ascii="Times New Roman" w:hAnsi="Times New Roman" w:cs="Times New Roman"/>
          <w:sz w:val="24"/>
          <w:szCs w:val="24"/>
        </w:rPr>
        <w:t xml:space="preserve">tangerina e </w:t>
      </w:r>
      <w:r w:rsidR="00A86A99"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  <w:r w:rsidR="00AA1DC3">
        <w:rPr>
          <w:rFonts w:ascii="Times New Roman" w:hAnsi="Times New Roman" w:cs="Times New Roman"/>
          <w:sz w:val="24"/>
          <w:szCs w:val="24"/>
        </w:rPr>
        <w:t>uva.</w:t>
      </w:r>
    </w:p>
    <w:p w14:paraId="2D36D9C6" w14:textId="551667DE" w:rsidR="00041864" w:rsidRPr="006B2DBA" w:rsidRDefault="00023B6E" w:rsidP="004913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3B6E">
        <w:rPr>
          <w:noProof/>
          <w:lang w:eastAsia="pt-BR"/>
        </w:rPr>
        <w:drawing>
          <wp:inline distT="0" distB="0" distL="0" distR="0" wp14:anchorId="6FB3581A" wp14:editId="70426D03">
            <wp:extent cx="5400040" cy="17397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3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E994" w14:textId="31F3751D" w:rsidR="007822D7" w:rsidRPr="009C5C7B" w:rsidRDefault="007822D7" w:rsidP="004913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5C7B">
        <w:rPr>
          <w:rFonts w:ascii="Times New Roman" w:hAnsi="Times New Roman" w:cs="Times New Roman"/>
          <w:sz w:val="20"/>
          <w:szCs w:val="24"/>
        </w:rPr>
        <w:t xml:space="preserve">Figura 1 – </w:t>
      </w:r>
      <w:r w:rsidR="009C5C7B">
        <w:rPr>
          <w:rFonts w:ascii="Times New Roman" w:hAnsi="Times New Roman" w:cs="Times New Roman"/>
          <w:sz w:val="20"/>
          <w:szCs w:val="24"/>
        </w:rPr>
        <w:t>Matriz d</w:t>
      </w:r>
      <w:r w:rsidR="00851825" w:rsidRPr="009C5C7B">
        <w:rPr>
          <w:rFonts w:ascii="Times New Roman" w:hAnsi="Times New Roman" w:cs="Times New Roman"/>
          <w:sz w:val="20"/>
          <w:szCs w:val="24"/>
        </w:rPr>
        <w:t>inâmica da fruticultura catarinense</w:t>
      </w:r>
      <w:r w:rsidRPr="009C5C7B">
        <w:rPr>
          <w:rFonts w:ascii="Times New Roman" w:hAnsi="Times New Roman" w:cs="Times New Roman"/>
          <w:sz w:val="20"/>
          <w:szCs w:val="24"/>
        </w:rPr>
        <w:t xml:space="preserve">: </w:t>
      </w:r>
      <w:r w:rsidR="002B02D8">
        <w:rPr>
          <w:rFonts w:ascii="Times New Roman" w:hAnsi="Times New Roman" w:cs="Times New Roman"/>
          <w:sz w:val="20"/>
          <w:szCs w:val="24"/>
        </w:rPr>
        <w:t>e</w:t>
      </w:r>
      <w:r w:rsidR="00851825" w:rsidRPr="009C5C7B">
        <w:rPr>
          <w:rFonts w:ascii="Times New Roman" w:hAnsi="Times New Roman" w:cs="Times New Roman"/>
          <w:sz w:val="20"/>
          <w:szCs w:val="24"/>
        </w:rPr>
        <w:t>volução dos indicadores de participação, concentração e especialização</w:t>
      </w:r>
      <w:r w:rsidR="009C5C7B">
        <w:rPr>
          <w:rFonts w:ascii="Times New Roman" w:hAnsi="Times New Roman" w:cs="Times New Roman"/>
          <w:sz w:val="20"/>
          <w:szCs w:val="24"/>
        </w:rPr>
        <w:t xml:space="preserve"> por microrregiões</w:t>
      </w:r>
      <w:r w:rsidR="00851825" w:rsidRPr="009C5C7B">
        <w:rPr>
          <w:rFonts w:ascii="Times New Roman" w:hAnsi="Times New Roman" w:cs="Times New Roman"/>
          <w:sz w:val="20"/>
          <w:szCs w:val="24"/>
        </w:rPr>
        <w:t xml:space="preserve"> (2002 e 2019)</w:t>
      </w:r>
    </w:p>
    <w:p w14:paraId="3F579E89" w14:textId="4A6B2D15" w:rsidR="007822D7" w:rsidRPr="009C5C7B" w:rsidRDefault="007822D7" w:rsidP="004913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5C7B">
        <w:rPr>
          <w:rFonts w:ascii="Times New Roman" w:hAnsi="Times New Roman" w:cs="Times New Roman"/>
          <w:sz w:val="20"/>
          <w:szCs w:val="24"/>
        </w:rPr>
        <w:t>Fonte: autores.</w:t>
      </w:r>
    </w:p>
    <w:p w14:paraId="6940FBE6" w14:textId="77777777" w:rsidR="00491391" w:rsidRPr="006B2DBA" w:rsidRDefault="00491391" w:rsidP="00A61DB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76B6BC" w14:textId="60F68D94" w:rsidR="00A61DBA" w:rsidRPr="00041864" w:rsidRDefault="00A61DBA" w:rsidP="00A61D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64">
        <w:rPr>
          <w:rFonts w:ascii="Times New Roman" w:hAnsi="Times New Roman" w:cs="Times New Roman"/>
          <w:b/>
          <w:sz w:val="24"/>
          <w:szCs w:val="24"/>
        </w:rPr>
        <w:t>6</w:t>
      </w:r>
      <w:r w:rsidR="00F220C7" w:rsidRPr="00041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864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14:paraId="55868A76" w14:textId="73B4EACE" w:rsidR="00FD725D" w:rsidRDefault="00CD6A1E" w:rsidP="00FD7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1E">
        <w:rPr>
          <w:rFonts w:ascii="Times New Roman" w:hAnsi="Times New Roman" w:cs="Times New Roman"/>
          <w:sz w:val="24"/>
          <w:szCs w:val="24"/>
        </w:rPr>
        <w:lastRenderedPageBreak/>
        <w:t>Na análise da dinâmica produtiva e econômica da fruticultura catarinense</w:t>
      </w:r>
      <w:r>
        <w:rPr>
          <w:rFonts w:ascii="Times New Roman" w:hAnsi="Times New Roman" w:cs="Times New Roman"/>
          <w:sz w:val="24"/>
          <w:szCs w:val="24"/>
        </w:rPr>
        <w:t xml:space="preserve"> é importante observar a evolução das culturas nas microrregiões estaduais com maior concentração e especialização como a bananicultura</w:t>
      </w:r>
      <w:r w:rsidR="006640B0">
        <w:rPr>
          <w:rFonts w:ascii="Times New Roman" w:hAnsi="Times New Roman" w:cs="Times New Roman"/>
          <w:sz w:val="24"/>
          <w:szCs w:val="24"/>
        </w:rPr>
        <w:t xml:space="preserve"> e a</w:t>
      </w:r>
      <w:r>
        <w:rPr>
          <w:rFonts w:ascii="Times New Roman" w:hAnsi="Times New Roman" w:cs="Times New Roman"/>
          <w:sz w:val="24"/>
          <w:szCs w:val="24"/>
        </w:rPr>
        <w:t xml:space="preserve"> cultura da maçã que apresentam grande representação nacional. E ainda culturas mais recentes com grande ampliação de área e produção como a do maracujá.</w:t>
      </w:r>
    </w:p>
    <w:p w14:paraId="22994F19" w14:textId="02C1C072" w:rsidR="00CD6A1E" w:rsidRPr="00CD6A1E" w:rsidRDefault="00CD6A1E" w:rsidP="00FD7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de indicadores regionais de concentração, especialização e participação setorial da fruticultura é relevante para aprimorar outros estudos sobre a dinâmica das cadeias produtivas da agricultura no estado catarinense e gerar informações para melhoria na coordenação e no planejamento agrícola setorial e público.</w:t>
      </w:r>
    </w:p>
    <w:p w14:paraId="4F7826D6" w14:textId="77777777" w:rsidR="00A61DBA" w:rsidRPr="006B2DBA" w:rsidRDefault="00A61DBA" w:rsidP="00A61DB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5C4618" w14:textId="0A8BF292" w:rsidR="00BF2363" w:rsidRPr="00C735AB" w:rsidRDefault="00BF2363" w:rsidP="00BF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5AB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C735AB">
        <w:rPr>
          <w:rFonts w:ascii="Times New Roman" w:hAnsi="Times New Roman" w:cs="Times New Roman"/>
          <w:sz w:val="24"/>
          <w:szCs w:val="24"/>
        </w:rPr>
        <w:t xml:space="preserve"> Economia agrícola; </w:t>
      </w:r>
      <w:r w:rsidR="00C735AB" w:rsidRPr="00C735AB">
        <w:rPr>
          <w:rFonts w:ascii="Times New Roman" w:hAnsi="Times New Roman" w:cs="Times New Roman"/>
          <w:sz w:val="24"/>
          <w:szCs w:val="24"/>
        </w:rPr>
        <w:t>Dinâmica econômica</w:t>
      </w:r>
      <w:r w:rsidRPr="00C735AB">
        <w:rPr>
          <w:rFonts w:ascii="Times New Roman" w:hAnsi="Times New Roman" w:cs="Times New Roman"/>
          <w:sz w:val="24"/>
          <w:szCs w:val="24"/>
        </w:rPr>
        <w:t xml:space="preserve">; </w:t>
      </w:r>
      <w:r w:rsidR="00C735AB" w:rsidRPr="00C735AB">
        <w:rPr>
          <w:rFonts w:ascii="Times New Roman" w:hAnsi="Times New Roman" w:cs="Times New Roman"/>
          <w:sz w:val="24"/>
          <w:szCs w:val="24"/>
        </w:rPr>
        <w:t xml:space="preserve">Índice de </w:t>
      </w:r>
      <w:proofErr w:type="spellStart"/>
      <w:r w:rsidR="00C735AB" w:rsidRPr="00C735AB">
        <w:rPr>
          <w:rFonts w:ascii="Times New Roman" w:hAnsi="Times New Roman" w:cs="Times New Roman"/>
          <w:sz w:val="24"/>
          <w:szCs w:val="24"/>
        </w:rPr>
        <w:t>Herfindahl-Hirschman</w:t>
      </w:r>
      <w:proofErr w:type="spellEnd"/>
      <w:r w:rsidR="00C735AB" w:rsidRPr="00C735AB">
        <w:rPr>
          <w:rFonts w:ascii="Times New Roman" w:hAnsi="Times New Roman" w:cs="Times New Roman"/>
          <w:sz w:val="24"/>
          <w:szCs w:val="24"/>
        </w:rPr>
        <w:t xml:space="preserve">; </w:t>
      </w:r>
      <w:r w:rsidRPr="00C735AB">
        <w:rPr>
          <w:rFonts w:ascii="Times New Roman" w:hAnsi="Times New Roman" w:cs="Times New Roman"/>
          <w:sz w:val="24"/>
          <w:szCs w:val="24"/>
        </w:rPr>
        <w:t xml:space="preserve">Fruticultura; </w:t>
      </w:r>
      <w:r w:rsidR="00C154D9" w:rsidRPr="00C735AB">
        <w:rPr>
          <w:rFonts w:ascii="Times New Roman" w:hAnsi="Times New Roman" w:cs="Times New Roman"/>
          <w:sz w:val="24"/>
          <w:szCs w:val="24"/>
        </w:rPr>
        <w:t>Santa Catarina</w:t>
      </w:r>
      <w:r w:rsidRPr="00C735AB">
        <w:rPr>
          <w:rFonts w:ascii="Times New Roman" w:hAnsi="Times New Roman" w:cs="Times New Roman"/>
          <w:sz w:val="24"/>
          <w:szCs w:val="24"/>
        </w:rPr>
        <w:t>.</w:t>
      </w:r>
    </w:p>
    <w:p w14:paraId="75C55EBD" w14:textId="7A34DF52" w:rsidR="00CA62C0" w:rsidRPr="006B2DBA" w:rsidRDefault="00CA62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FD07857" w14:textId="77777777" w:rsidR="002615D2" w:rsidRPr="00C735AB" w:rsidRDefault="002615D2" w:rsidP="00406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5AB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6DF6DC6F" w14:textId="660E5FB9" w:rsidR="009C5C7B" w:rsidRPr="00AA1DC3" w:rsidRDefault="009C5C7B" w:rsidP="00406404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A1DC3">
        <w:rPr>
          <w:rFonts w:ascii="Times New Roman" w:hAnsi="Times New Roman" w:cs="Times New Roman"/>
          <w:sz w:val="20"/>
        </w:rPr>
        <w:t xml:space="preserve">ALVES, </w:t>
      </w:r>
      <w:r w:rsidR="006E39D4" w:rsidRPr="00AA1DC3">
        <w:rPr>
          <w:rFonts w:ascii="Times New Roman" w:hAnsi="Times New Roman" w:cs="Times New Roman"/>
          <w:sz w:val="20"/>
        </w:rPr>
        <w:t>L.R. “Indicadores de localização, especialização e estruturação regional”. In: PIACENTI, C.A. &amp; LIMA, J.F. de. (</w:t>
      </w:r>
      <w:proofErr w:type="spellStart"/>
      <w:r w:rsidR="006E39D4" w:rsidRPr="00AA1DC3">
        <w:rPr>
          <w:rFonts w:ascii="Times New Roman" w:hAnsi="Times New Roman" w:cs="Times New Roman"/>
          <w:sz w:val="20"/>
        </w:rPr>
        <w:t>Orgs</w:t>
      </w:r>
      <w:proofErr w:type="spellEnd"/>
      <w:r w:rsidR="006E39D4" w:rsidRPr="00AA1DC3">
        <w:rPr>
          <w:rFonts w:ascii="Times New Roman" w:hAnsi="Times New Roman" w:cs="Times New Roman"/>
          <w:sz w:val="20"/>
        </w:rPr>
        <w:t xml:space="preserve">.) </w:t>
      </w:r>
      <w:r w:rsidR="006E39D4" w:rsidRPr="00AA1DC3">
        <w:rPr>
          <w:rFonts w:ascii="Times New Roman" w:hAnsi="Times New Roman" w:cs="Times New Roman"/>
          <w:b/>
          <w:sz w:val="20"/>
        </w:rPr>
        <w:t>Análise Regional: metodologias e indicadores</w:t>
      </w:r>
      <w:r w:rsidR="006E39D4" w:rsidRPr="00AA1DC3">
        <w:rPr>
          <w:rFonts w:ascii="Times New Roman" w:hAnsi="Times New Roman" w:cs="Times New Roman"/>
          <w:sz w:val="20"/>
        </w:rPr>
        <w:t xml:space="preserve">. Curitiba: Camões, </w:t>
      </w:r>
      <w:r w:rsidRPr="00AA1DC3">
        <w:rPr>
          <w:rFonts w:ascii="Times New Roman" w:hAnsi="Times New Roman" w:cs="Times New Roman"/>
          <w:sz w:val="20"/>
        </w:rPr>
        <w:t xml:space="preserve">2012; </w:t>
      </w:r>
    </w:p>
    <w:p w14:paraId="4AC4446D" w14:textId="507B3045" w:rsidR="004013B4" w:rsidRPr="00AA1DC3" w:rsidRDefault="009C5C7B" w:rsidP="004013B4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A1DC3">
        <w:rPr>
          <w:rFonts w:ascii="Times New Roman" w:hAnsi="Times New Roman" w:cs="Times New Roman"/>
          <w:sz w:val="20"/>
        </w:rPr>
        <w:t>ALVES,</w:t>
      </w:r>
      <w:r w:rsidR="00425BD6" w:rsidRPr="00AA1DC3">
        <w:rPr>
          <w:rFonts w:ascii="Times New Roman" w:hAnsi="Times New Roman" w:cs="Times New Roman"/>
          <w:sz w:val="20"/>
        </w:rPr>
        <w:t xml:space="preserve"> D.F.;</w:t>
      </w:r>
      <w:r w:rsidRPr="00AA1DC3">
        <w:rPr>
          <w:rFonts w:ascii="Times New Roman" w:hAnsi="Times New Roman" w:cs="Times New Roman"/>
          <w:sz w:val="20"/>
        </w:rPr>
        <w:t xml:space="preserve"> LIMA JR.</w:t>
      </w:r>
      <w:r w:rsidR="00425BD6" w:rsidRPr="00AA1DC3">
        <w:rPr>
          <w:rFonts w:ascii="Times New Roman" w:hAnsi="Times New Roman" w:cs="Times New Roman"/>
          <w:sz w:val="20"/>
        </w:rPr>
        <w:t>, F do O.;</w:t>
      </w:r>
      <w:r w:rsidR="00D120BE" w:rsidRPr="00AA1DC3">
        <w:rPr>
          <w:rFonts w:ascii="Times New Roman" w:hAnsi="Times New Roman" w:cs="Times New Roman"/>
          <w:sz w:val="20"/>
        </w:rPr>
        <w:t xml:space="preserve"> </w:t>
      </w:r>
      <w:r w:rsidRPr="00AA1DC3">
        <w:rPr>
          <w:rFonts w:ascii="Times New Roman" w:hAnsi="Times New Roman" w:cs="Times New Roman"/>
          <w:sz w:val="20"/>
        </w:rPr>
        <w:t>PEREIRA,</w:t>
      </w:r>
      <w:r w:rsidR="00425BD6" w:rsidRPr="00AA1DC3">
        <w:rPr>
          <w:rFonts w:ascii="Times New Roman" w:hAnsi="Times New Roman" w:cs="Times New Roman"/>
          <w:sz w:val="20"/>
        </w:rPr>
        <w:t xml:space="preserve"> </w:t>
      </w:r>
      <w:proofErr w:type="gramStart"/>
      <w:r w:rsidR="00425BD6" w:rsidRPr="00AA1DC3">
        <w:rPr>
          <w:rFonts w:ascii="Times New Roman" w:hAnsi="Times New Roman" w:cs="Times New Roman"/>
          <w:sz w:val="20"/>
        </w:rPr>
        <w:t>W.E.N..</w:t>
      </w:r>
      <w:proofErr w:type="gramEnd"/>
      <w:r w:rsidR="00425BD6" w:rsidRPr="00AA1DC3">
        <w:rPr>
          <w:rFonts w:ascii="Times New Roman" w:hAnsi="Times New Roman" w:cs="Times New Roman"/>
          <w:sz w:val="20"/>
        </w:rPr>
        <w:t xml:space="preserve"> “Disparidades locacionais na estrutura produtiva e fragmentação territorial: uma análise das mesorregiões do Rio Grande do Norte”. </w:t>
      </w:r>
      <w:r w:rsidR="00425BD6" w:rsidRPr="00AA1DC3">
        <w:rPr>
          <w:rFonts w:ascii="Times New Roman" w:hAnsi="Times New Roman" w:cs="Times New Roman"/>
          <w:b/>
          <w:sz w:val="20"/>
        </w:rPr>
        <w:t>Rev.</w:t>
      </w:r>
      <w:r w:rsidR="00425BD6" w:rsidRPr="00AA1DC3">
        <w:rPr>
          <w:rFonts w:ascii="Times New Roman" w:hAnsi="Times New Roman" w:cs="Times New Roman"/>
          <w:sz w:val="20"/>
        </w:rPr>
        <w:t xml:space="preserve"> </w:t>
      </w:r>
      <w:r w:rsidR="00425BD6" w:rsidRPr="00AA1DC3">
        <w:rPr>
          <w:rFonts w:ascii="Times New Roman" w:hAnsi="Times New Roman" w:cs="Times New Roman"/>
          <w:b/>
          <w:sz w:val="20"/>
        </w:rPr>
        <w:t>Estudo &amp; Debate</w:t>
      </w:r>
      <w:r w:rsidR="00425BD6" w:rsidRPr="00AA1DC3">
        <w:rPr>
          <w:rFonts w:ascii="Times New Roman" w:hAnsi="Times New Roman" w:cs="Times New Roman"/>
          <w:sz w:val="20"/>
        </w:rPr>
        <w:t>, Lajeado</w:t>
      </w:r>
      <w:r w:rsidR="001002DB" w:rsidRPr="00AA1DC3">
        <w:rPr>
          <w:rFonts w:ascii="Times New Roman" w:hAnsi="Times New Roman" w:cs="Times New Roman"/>
          <w:sz w:val="20"/>
        </w:rPr>
        <w:t xml:space="preserve">: </w:t>
      </w:r>
      <w:proofErr w:type="spellStart"/>
      <w:r w:rsidR="001002DB" w:rsidRPr="00AA1DC3">
        <w:rPr>
          <w:rFonts w:ascii="Times New Roman" w:hAnsi="Times New Roman" w:cs="Times New Roman"/>
          <w:sz w:val="20"/>
        </w:rPr>
        <w:t>Univates</w:t>
      </w:r>
      <w:proofErr w:type="spellEnd"/>
      <w:r w:rsidR="001002DB" w:rsidRPr="00AA1DC3">
        <w:rPr>
          <w:rFonts w:ascii="Times New Roman" w:hAnsi="Times New Roman" w:cs="Times New Roman"/>
          <w:sz w:val="20"/>
        </w:rPr>
        <w:t xml:space="preserve"> – Universidade do Vale do Taquari</w:t>
      </w:r>
      <w:r w:rsidR="00425BD6" w:rsidRPr="00AA1DC3">
        <w:rPr>
          <w:rFonts w:ascii="Times New Roman" w:hAnsi="Times New Roman" w:cs="Times New Roman"/>
          <w:sz w:val="20"/>
        </w:rPr>
        <w:t>, v.26, n.3, p.69-86, 2019 (ISSN 1983-036X), disponível em:</w:t>
      </w:r>
      <w:r w:rsidR="001002DB" w:rsidRPr="00AA1DC3">
        <w:rPr>
          <w:rFonts w:ascii="Times New Roman" w:hAnsi="Times New Roman" w:cs="Times New Roman"/>
          <w:sz w:val="20"/>
        </w:rPr>
        <w:t xml:space="preserve"> &lt;http://univates.br/revistas/index.php/estudoedebate/article/view/2093&gt;</w:t>
      </w:r>
      <w:r w:rsidR="00425BD6" w:rsidRPr="00AA1DC3">
        <w:rPr>
          <w:rFonts w:ascii="Times New Roman" w:hAnsi="Times New Roman" w:cs="Times New Roman"/>
          <w:sz w:val="20"/>
        </w:rPr>
        <w:t xml:space="preserve">, acesso em 18/03/2023; </w:t>
      </w:r>
    </w:p>
    <w:p w14:paraId="6203E710" w14:textId="4E80D19F" w:rsidR="004013B4" w:rsidRPr="00AA1DC3" w:rsidRDefault="004013B4" w:rsidP="004013B4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A1DC3">
        <w:rPr>
          <w:rFonts w:ascii="Times New Roman" w:hAnsi="Times New Roman" w:cs="Times New Roman"/>
          <w:sz w:val="20"/>
        </w:rPr>
        <w:t xml:space="preserve">CASTRO, V.C.; KUHN, L.; PENA, H.W.A. “Análise do quociente locacional e da dinâmica produtiva do município de </w:t>
      </w:r>
      <w:proofErr w:type="spellStart"/>
      <w:r w:rsidRPr="00AA1DC3">
        <w:rPr>
          <w:rFonts w:ascii="Times New Roman" w:hAnsi="Times New Roman" w:cs="Times New Roman"/>
          <w:sz w:val="20"/>
        </w:rPr>
        <w:t>Salinopólis</w:t>
      </w:r>
      <w:proofErr w:type="spellEnd"/>
      <w:r w:rsidRPr="00AA1DC3">
        <w:rPr>
          <w:rFonts w:ascii="Times New Roman" w:hAnsi="Times New Roman" w:cs="Times New Roman"/>
          <w:sz w:val="20"/>
        </w:rPr>
        <w:t xml:space="preserve"> – Pará”. </w:t>
      </w:r>
      <w:r w:rsidRPr="00AA1DC3">
        <w:rPr>
          <w:rFonts w:ascii="Times New Roman" w:hAnsi="Times New Roman" w:cs="Times New Roman"/>
          <w:b/>
          <w:i/>
          <w:sz w:val="20"/>
        </w:rPr>
        <w:t xml:space="preserve">Rev. Observatório de </w:t>
      </w:r>
      <w:proofErr w:type="spellStart"/>
      <w:r w:rsidRPr="00AA1DC3">
        <w:rPr>
          <w:rFonts w:ascii="Times New Roman" w:hAnsi="Times New Roman" w:cs="Times New Roman"/>
          <w:b/>
          <w:i/>
          <w:sz w:val="20"/>
        </w:rPr>
        <w:t>la</w:t>
      </w:r>
      <w:proofErr w:type="spellEnd"/>
      <w:r w:rsidRPr="00AA1DC3">
        <w:rPr>
          <w:rFonts w:ascii="Times New Roman" w:hAnsi="Times New Roman" w:cs="Times New Roman"/>
          <w:b/>
          <w:i/>
          <w:sz w:val="20"/>
        </w:rPr>
        <w:t xml:space="preserve"> Economia </w:t>
      </w:r>
      <w:proofErr w:type="spellStart"/>
      <w:r w:rsidRPr="00AA1DC3">
        <w:rPr>
          <w:rFonts w:ascii="Times New Roman" w:hAnsi="Times New Roman" w:cs="Times New Roman"/>
          <w:b/>
          <w:i/>
          <w:sz w:val="20"/>
        </w:rPr>
        <w:t>Latinoamericana</w:t>
      </w:r>
      <w:proofErr w:type="spellEnd"/>
      <w:r w:rsidRPr="00AA1DC3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r w:rsidRPr="00AA1DC3">
        <w:rPr>
          <w:rFonts w:ascii="Times New Roman" w:hAnsi="Times New Roman" w:cs="Times New Roman"/>
          <w:i/>
          <w:sz w:val="20"/>
        </w:rPr>
        <w:t>septiembre</w:t>
      </w:r>
      <w:proofErr w:type="spellEnd"/>
      <w:r w:rsidRPr="00AA1DC3">
        <w:rPr>
          <w:rFonts w:ascii="Times New Roman" w:hAnsi="Times New Roman" w:cs="Times New Roman"/>
          <w:sz w:val="20"/>
        </w:rPr>
        <w:t>, 2017</w:t>
      </w:r>
      <w:r w:rsidR="00203205" w:rsidRPr="00AA1DC3">
        <w:rPr>
          <w:rFonts w:ascii="Times New Roman" w:hAnsi="Times New Roman" w:cs="Times New Roman"/>
          <w:sz w:val="20"/>
        </w:rPr>
        <w:t xml:space="preserve">, disponível em: &lt;https://www.eumed.net/cursecon/ecolat/br/17/quociente-locacional.html#google_vignette&gt; </w:t>
      </w:r>
      <w:r w:rsidRPr="00AA1DC3">
        <w:rPr>
          <w:rFonts w:ascii="Times New Roman" w:hAnsi="Times New Roman" w:cs="Times New Roman"/>
          <w:sz w:val="20"/>
        </w:rPr>
        <w:t xml:space="preserve">acesso em 16/03/2023; </w:t>
      </w:r>
    </w:p>
    <w:p w14:paraId="45209DD4" w14:textId="575C94C2" w:rsidR="004013B4" w:rsidRPr="00AA1DC3" w:rsidRDefault="004013B4" w:rsidP="004013B4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A1DC3">
        <w:rPr>
          <w:rFonts w:ascii="Times New Roman" w:hAnsi="Times New Roman" w:cs="Times New Roman"/>
          <w:sz w:val="20"/>
        </w:rPr>
        <w:t xml:space="preserve">IBGE – </w:t>
      </w:r>
      <w:r w:rsidRPr="00AA1DC3">
        <w:rPr>
          <w:rFonts w:ascii="Times New Roman" w:hAnsi="Times New Roman" w:cs="Times New Roman"/>
          <w:b/>
          <w:sz w:val="20"/>
        </w:rPr>
        <w:t>Pesquisa Agrícola Municipal – PAM (vários anos)</w:t>
      </w:r>
      <w:r w:rsidRPr="00AA1DC3">
        <w:rPr>
          <w:rFonts w:ascii="Times New Roman" w:hAnsi="Times New Roman" w:cs="Times New Roman"/>
          <w:sz w:val="20"/>
        </w:rPr>
        <w:t>. Rio de Janeiro: IBGE, 2023, disponível em: &lt;</w:t>
      </w:r>
      <w:r w:rsidRPr="00AA1DC3">
        <w:rPr>
          <w:sz w:val="20"/>
        </w:rPr>
        <w:t xml:space="preserve"> </w:t>
      </w:r>
      <w:r w:rsidRPr="000905BD">
        <w:rPr>
          <w:rFonts w:ascii="Times New Roman" w:hAnsi="Times New Roman" w:cs="Times New Roman"/>
          <w:sz w:val="20"/>
        </w:rPr>
        <w:t>https://sidra.</w:t>
      </w:r>
      <w:r w:rsidR="000905BD" w:rsidRPr="000905BD">
        <w:rPr>
          <w:rFonts w:ascii="Times New Roman" w:hAnsi="Times New Roman" w:cs="Times New Roman"/>
          <w:sz w:val="20"/>
        </w:rPr>
        <w:t>ibge.gov.br/pesquisa/pam/tabelas</w:t>
      </w:r>
      <w:r w:rsidRPr="00AA1DC3">
        <w:rPr>
          <w:rFonts w:ascii="Times New Roman" w:hAnsi="Times New Roman" w:cs="Times New Roman"/>
          <w:sz w:val="20"/>
        </w:rPr>
        <w:t>&gt;; acesso em: 28/02/2023;</w:t>
      </w:r>
    </w:p>
    <w:p w14:paraId="5025B8F9" w14:textId="4777A75E" w:rsidR="004013B4" w:rsidRPr="00AA1DC3" w:rsidRDefault="004013B4" w:rsidP="004013B4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A1DC3">
        <w:rPr>
          <w:rFonts w:ascii="Times New Roman" w:hAnsi="Times New Roman" w:cs="Times New Roman"/>
          <w:sz w:val="20"/>
        </w:rPr>
        <w:t xml:space="preserve">PENA, H.W.A. </w:t>
      </w:r>
      <w:r w:rsidRPr="00AA1DC3">
        <w:rPr>
          <w:rFonts w:ascii="Times New Roman" w:hAnsi="Times New Roman" w:cs="Times New Roman"/>
          <w:i/>
          <w:sz w:val="20"/>
        </w:rPr>
        <w:t>et al</w:t>
      </w:r>
      <w:r w:rsidRPr="00AA1DC3">
        <w:rPr>
          <w:rFonts w:ascii="Times New Roman" w:hAnsi="Times New Roman" w:cs="Times New Roman"/>
          <w:sz w:val="20"/>
        </w:rPr>
        <w:t xml:space="preserve">. “Elementos metodológicos para análise dinâmica da estrutura produtiva nas regiões de integração do Tocantins e Carajás, Pará – Amazônia – Brasil”. In: SANTANA, A.C. de. </w:t>
      </w:r>
      <w:r w:rsidRPr="00AA1DC3">
        <w:rPr>
          <w:rFonts w:ascii="Times New Roman" w:hAnsi="Times New Roman" w:cs="Times New Roman"/>
          <w:b/>
          <w:sz w:val="20"/>
        </w:rPr>
        <w:t>Arranjos produtivos locais na Amazônia: metodologia para identificação e mapeamento</w:t>
      </w:r>
      <w:r w:rsidRPr="00AA1DC3">
        <w:rPr>
          <w:rFonts w:ascii="Times New Roman" w:hAnsi="Times New Roman" w:cs="Times New Roman"/>
          <w:sz w:val="20"/>
        </w:rPr>
        <w:t xml:space="preserve">. Belém: ADA, 2004; </w:t>
      </w:r>
    </w:p>
    <w:p w14:paraId="77258118" w14:textId="7860755E" w:rsidR="00425BD6" w:rsidRPr="00AA1DC3" w:rsidRDefault="004013B4" w:rsidP="00425BD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A1DC3">
        <w:rPr>
          <w:rFonts w:ascii="Times New Roman" w:hAnsi="Times New Roman" w:cs="Times New Roman"/>
          <w:sz w:val="20"/>
        </w:rPr>
        <w:t xml:space="preserve">SANTANA, A.C. de; SANTANA, A.L de. “Mapeamento e análise de arranjos produtivos locais na Amazônia”. </w:t>
      </w:r>
      <w:r w:rsidRPr="00AA1DC3">
        <w:rPr>
          <w:rFonts w:ascii="Times New Roman" w:hAnsi="Times New Roman" w:cs="Times New Roman"/>
          <w:b/>
          <w:sz w:val="20"/>
        </w:rPr>
        <w:t xml:space="preserve">Teor. </w:t>
      </w:r>
      <w:proofErr w:type="gramStart"/>
      <w:r w:rsidRPr="00AA1DC3">
        <w:rPr>
          <w:rFonts w:ascii="Times New Roman" w:hAnsi="Times New Roman" w:cs="Times New Roman"/>
          <w:b/>
          <w:sz w:val="20"/>
        </w:rPr>
        <w:t>e</w:t>
      </w:r>
      <w:proofErr w:type="gramEnd"/>
      <w:r w:rsidRPr="00AA1DC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AA1DC3">
        <w:rPr>
          <w:rFonts w:ascii="Times New Roman" w:hAnsi="Times New Roman" w:cs="Times New Roman"/>
          <w:b/>
          <w:sz w:val="20"/>
        </w:rPr>
        <w:t>Evid</w:t>
      </w:r>
      <w:proofErr w:type="spellEnd"/>
      <w:r w:rsidRPr="00AA1DC3">
        <w:rPr>
          <w:rFonts w:ascii="Times New Roman" w:hAnsi="Times New Roman" w:cs="Times New Roman"/>
          <w:b/>
          <w:sz w:val="20"/>
        </w:rPr>
        <w:t xml:space="preserve">. </w:t>
      </w:r>
      <w:proofErr w:type="gramStart"/>
      <w:r w:rsidRPr="00AA1DC3">
        <w:rPr>
          <w:rFonts w:ascii="Times New Roman" w:hAnsi="Times New Roman" w:cs="Times New Roman"/>
          <w:b/>
          <w:sz w:val="20"/>
        </w:rPr>
        <w:t>Econ.</w:t>
      </w:r>
      <w:r w:rsidRPr="00AA1DC3">
        <w:rPr>
          <w:rFonts w:ascii="Times New Roman" w:hAnsi="Times New Roman" w:cs="Times New Roman"/>
          <w:sz w:val="20"/>
        </w:rPr>
        <w:t>,</w:t>
      </w:r>
      <w:proofErr w:type="gramEnd"/>
      <w:r w:rsidRPr="00AA1DC3">
        <w:rPr>
          <w:rFonts w:ascii="Times New Roman" w:hAnsi="Times New Roman" w:cs="Times New Roman"/>
          <w:sz w:val="20"/>
        </w:rPr>
        <w:t xml:space="preserve"> Passo Fundo: UPF – Universidade de Passo Fundo, v.12, n.22, p.9-34, maio, 2004, (ISSN 0104-0960), Disponível em: &lt;http://cepeac.upf.br/download/rev_n22_2004_art1.pdf&gt;, acesso em 18/03/2023.</w:t>
      </w:r>
    </w:p>
    <w:sectPr w:rsidR="00425BD6" w:rsidRPr="00AA1D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C0"/>
    <w:rsid w:val="0002282B"/>
    <w:rsid w:val="00023B6E"/>
    <w:rsid w:val="00030BAD"/>
    <w:rsid w:val="00041864"/>
    <w:rsid w:val="00050E18"/>
    <w:rsid w:val="00054913"/>
    <w:rsid w:val="000905BD"/>
    <w:rsid w:val="000D01C6"/>
    <w:rsid w:val="000E7D05"/>
    <w:rsid w:val="001002DB"/>
    <w:rsid w:val="001417A9"/>
    <w:rsid w:val="001543F8"/>
    <w:rsid w:val="00163AA6"/>
    <w:rsid w:val="001660F3"/>
    <w:rsid w:val="001742B8"/>
    <w:rsid w:val="00183CFD"/>
    <w:rsid w:val="001A4581"/>
    <w:rsid w:val="001C5A5F"/>
    <w:rsid w:val="001D5D6E"/>
    <w:rsid w:val="00203205"/>
    <w:rsid w:val="002226DF"/>
    <w:rsid w:val="00241B06"/>
    <w:rsid w:val="002615D2"/>
    <w:rsid w:val="00262C80"/>
    <w:rsid w:val="002B02D8"/>
    <w:rsid w:val="002B5D8C"/>
    <w:rsid w:val="002D236A"/>
    <w:rsid w:val="002D62FB"/>
    <w:rsid w:val="002E5F88"/>
    <w:rsid w:val="00322A0E"/>
    <w:rsid w:val="003244C9"/>
    <w:rsid w:val="00357F6B"/>
    <w:rsid w:val="00362565"/>
    <w:rsid w:val="003701C2"/>
    <w:rsid w:val="00376CE0"/>
    <w:rsid w:val="003B1A03"/>
    <w:rsid w:val="003C4E43"/>
    <w:rsid w:val="003D3B7B"/>
    <w:rsid w:val="003E1B5C"/>
    <w:rsid w:val="003F1BEF"/>
    <w:rsid w:val="003F447A"/>
    <w:rsid w:val="004013B4"/>
    <w:rsid w:val="004032AF"/>
    <w:rsid w:val="00406404"/>
    <w:rsid w:val="00425BD6"/>
    <w:rsid w:val="00434917"/>
    <w:rsid w:val="0046558D"/>
    <w:rsid w:val="004848A5"/>
    <w:rsid w:val="00491391"/>
    <w:rsid w:val="004970D8"/>
    <w:rsid w:val="00497A21"/>
    <w:rsid w:val="004A16AD"/>
    <w:rsid w:val="004B7304"/>
    <w:rsid w:val="005067E2"/>
    <w:rsid w:val="005142B0"/>
    <w:rsid w:val="00566AFB"/>
    <w:rsid w:val="005B411D"/>
    <w:rsid w:val="005C4C55"/>
    <w:rsid w:val="005F59A1"/>
    <w:rsid w:val="00622E97"/>
    <w:rsid w:val="0063063C"/>
    <w:rsid w:val="006640B0"/>
    <w:rsid w:val="006A0F95"/>
    <w:rsid w:val="006B2DBA"/>
    <w:rsid w:val="006B3432"/>
    <w:rsid w:val="006D5FF5"/>
    <w:rsid w:val="006D7738"/>
    <w:rsid w:val="006E39D4"/>
    <w:rsid w:val="0070383B"/>
    <w:rsid w:val="00705A84"/>
    <w:rsid w:val="00717E5E"/>
    <w:rsid w:val="007225C2"/>
    <w:rsid w:val="0073016A"/>
    <w:rsid w:val="00753122"/>
    <w:rsid w:val="00762464"/>
    <w:rsid w:val="007822D7"/>
    <w:rsid w:val="007A4743"/>
    <w:rsid w:val="007B61D2"/>
    <w:rsid w:val="007D4AC4"/>
    <w:rsid w:val="0080056A"/>
    <w:rsid w:val="00810028"/>
    <w:rsid w:val="00821D8B"/>
    <w:rsid w:val="0083667A"/>
    <w:rsid w:val="00846839"/>
    <w:rsid w:val="00846BBF"/>
    <w:rsid w:val="00851825"/>
    <w:rsid w:val="00866E84"/>
    <w:rsid w:val="00894F84"/>
    <w:rsid w:val="008A27A7"/>
    <w:rsid w:val="008B1277"/>
    <w:rsid w:val="008B24EE"/>
    <w:rsid w:val="008C301E"/>
    <w:rsid w:val="008C7019"/>
    <w:rsid w:val="008D5DAB"/>
    <w:rsid w:val="00901251"/>
    <w:rsid w:val="00913811"/>
    <w:rsid w:val="009170F5"/>
    <w:rsid w:val="009215D7"/>
    <w:rsid w:val="009405C0"/>
    <w:rsid w:val="009539B1"/>
    <w:rsid w:val="00957091"/>
    <w:rsid w:val="009C5C7B"/>
    <w:rsid w:val="009D1BDE"/>
    <w:rsid w:val="009E1379"/>
    <w:rsid w:val="009E74D9"/>
    <w:rsid w:val="009F5D13"/>
    <w:rsid w:val="009F6B9F"/>
    <w:rsid w:val="009F7AB3"/>
    <w:rsid w:val="00A22AC9"/>
    <w:rsid w:val="00A250B9"/>
    <w:rsid w:val="00A43201"/>
    <w:rsid w:val="00A61DBA"/>
    <w:rsid w:val="00A61EC9"/>
    <w:rsid w:val="00A845D3"/>
    <w:rsid w:val="00A86A99"/>
    <w:rsid w:val="00AA1DC3"/>
    <w:rsid w:val="00AB5167"/>
    <w:rsid w:val="00AC2985"/>
    <w:rsid w:val="00AE5034"/>
    <w:rsid w:val="00B07D15"/>
    <w:rsid w:val="00B1532A"/>
    <w:rsid w:val="00B17C03"/>
    <w:rsid w:val="00B46BE7"/>
    <w:rsid w:val="00B67A86"/>
    <w:rsid w:val="00BE0114"/>
    <w:rsid w:val="00BE7D6A"/>
    <w:rsid w:val="00BF2363"/>
    <w:rsid w:val="00BF3E4A"/>
    <w:rsid w:val="00C14F44"/>
    <w:rsid w:val="00C154D9"/>
    <w:rsid w:val="00C5152F"/>
    <w:rsid w:val="00C72B34"/>
    <w:rsid w:val="00C735AB"/>
    <w:rsid w:val="00CA0588"/>
    <w:rsid w:val="00CA4722"/>
    <w:rsid w:val="00CA62C0"/>
    <w:rsid w:val="00CD0856"/>
    <w:rsid w:val="00CD6A1E"/>
    <w:rsid w:val="00CE17E9"/>
    <w:rsid w:val="00D00565"/>
    <w:rsid w:val="00D012EB"/>
    <w:rsid w:val="00D120BE"/>
    <w:rsid w:val="00D2199B"/>
    <w:rsid w:val="00D35A07"/>
    <w:rsid w:val="00D35F0B"/>
    <w:rsid w:val="00D52863"/>
    <w:rsid w:val="00D871A1"/>
    <w:rsid w:val="00D9097F"/>
    <w:rsid w:val="00D958C8"/>
    <w:rsid w:val="00DA42DF"/>
    <w:rsid w:val="00DE2E18"/>
    <w:rsid w:val="00E15F54"/>
    <w:rsid w:val="00E30C70"/>
    <w:rsid w:val="00E36B0E"/>
    <w:rsid w:val="00E52F39"/>
    <w:rsid w:val="00E64819"/>
    <w:rsid w:val="00E84A12"/>
    <w:rsid w:val="00E874E3"/>
    <w:rsid w:val="00ED7322"/>
    <w:rsid w:val="00EF57B4"/>
    <w:rsid w:val="00F00A2A"/>
    <w:rsid w:val="00F12B8B"/>
    <w:rsid w:val="00F220C7"/>
    <w:rsid w:val="00F233BD"/>
    <w:rsid w:val="00F259A1"/>
    <w:rsid w:val="00F41120"/>
    <w:rsid w:val="00F501C8"/>
    <w:rsid w:val="00F92790"/>
    <w:rsid w:val="00F959F2"/>
    <w:rsid w:val="00FA6CEC"/>
    <w:rsid w:val="00FC6283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FCB0"/>
  <w15:chartTrackingRefBased/>
  <w15:docId w15:val="{FB322A03-41B0-45C4-9CA0-8AE5069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539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39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39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39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39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9B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2B5D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-scope">
    <w:name w:val="x-scope"/>
    <w:basedOn w:val="Normal"/>
    <w:rsid w:val="0071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owt-font2-timesnewroman">
    <w:name w:val="qowt-font2-timesnewroman"/>
    <w:basedOn w:val="Fontepargpadro"/>
    <w:rsid w:val="00717E5E"/>
  </w:style>
  <w:style w:type="character" w:styleId="Hyperlink">
    <w:name w:val="Hyperlink"/>
    <w:basedOn w:val="Fontepargpadro"/>
    <w:uiPriority w:val="99"/>
    <w:unhideWhenUsed/>
    <w:rsid w:val="0046558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65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izhenriques.sousa@gmail.com" TargetMode="External"/><Relationship Id="rId5" Type="http://schemas.openxmlformats.org/officeDocument/2006/relationships/hyperlink" Target="mailto:rogeriojunior@epagri.sc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3969-82BC-46DC-8C6C-A2C9FA0E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1862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</dc:creator>
  <cp:keywords/>
  <dc:description/>
  <cp:lastModifiedBy>Rogério Goulart Junior</cp:lastModifiedBy>
  <cp:revision>3</cp:revision>
  <cp:lastPrinted>2023-04-20T19:53:00Z</cp:lastPrinted>
  <dcterms:created xsi:type="dcterms:W3CDTF">2023-04-24T13:22:00Z</dcterms:created>
  <dcterms:modified xsi:type="dcterms:W3CDTF">2023-04-24T13:23:00Z</dcterms:modified>
</cp:coreProperties>
</file>