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8130" w14:textId="789493EE" w:rsidR="009405C0" w:rsidRDefault="00CE17E9" w:rsidP="0094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CARACTERIZAÇÃO DA CULTURA DA PITAYA: PRODUÇÃO E COMERCIALIZAÇÃO</w:t>
      </w:r>
      <w:r w:rsidR="00810028">
        <w:rPr>
          <w:rFonts w:ascii="Times New Roman" w:hAnsi="Times New Roman" w:cs="Times New Roman"/>
          <w:b/>
          <w:sz w:val="24"/>
          <w:szCs w:val="24"/>
        </w:rPr>
        <w:t xml:space="preserve"> NO SUL CATARINENSE</w:t>
      </w:r>
    </w:p>
    <w:p w14:paraId="20D3FC5C" w14:textId="77777777" w:rsidR="009405C0" w:rsidRDefault="009405C0" w:rsidP="005142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46984" w14:textId="637E585C" w:rsidR="002B428D" w:rsidRDefault="002B428D" w:rsidP="002B4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28D">
        <w:rPr>
          <w:rFonts w:ascii="Times New Roman" w:hAnsi="Times New Roman" w:cs="Times New Roman"/>
          <w:sz w:val="24"/>
          <w:szCs w:val="24"/>
        </w:rPr>
        <w:t>Rogério Goulart</w:t>
      </w:r>
      <w:r>
        <w:rPr>
          <w:rFonts w:ascii="Times New Roman" w:hAnsi="Times New Roman" w:cs="Times New Roman"/>
          <w:sz w:val="24"/>
          <w:szCs w:val="24"/>
        </w:rPr>
        <w:t xml:space="preserve"> Junior, Dr.; CEPA – Epagri; </w:t>
      </w:r>
      <w:hyperlink r:id="rId5" w:history="1">
        <w:r w:rsidRPr="00292110">
          <w:rPr>
            <w:rStyle w:val="Hyperlink"/>
            <w:rFonts w:ascii="Times New Roman" w:hAnsi="Times New Roman" w:cs="Times New Roman"/>
            <w:sz w:val="24"/>
            <w:szCs w:val="24"/>
          </w:rPr>
          <w:t>rogeriojunior@epagri.sc.gov.br</w:t>
        </w:r>
      </w:hyperlink>
    </w:p>
    <w:p w14:paraId="77BD9C80" w14:textId="6CC25070" w:rsidR="002B428D" w:rsidRDefault="002B428D" w:rsidP="002B4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Waintuch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Ms.; CEPA – Epagri; </w:t>
      </w:r>
      <w:hyperlink r:id="rId6" w:history="1">
        <w:r w:rsidRPr="00292110">
          <w:rPr>
            <w:rStyle w:val="Hyperlink"/>
            <w:rFonts w:ascii="Times New Roman" w:hAnsi="Times New Roman" w:cs="Times New Roman"/>
            <w:sz w:val="24"/>
            <w:szCs w:val="24"/>
          </w:rPr>
          <w:t>janice@epagri.sc.gov.br</w:t>
        </w:r>
      </w:hyperlink>
    </w:p>
    <w:p w14:paraId="25745BB9" w14:textId="664C3731" w:rsidR="002B428D" w:rsidRDefault="002B428D" w:rsidP="002B4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Diego Adílio da Silva; GRCR – Epagri; </w:t>
      </w:r>
      <w:hyperlink r:id="rId7" w:history="1">
        <w:r w:rsidRPr="00292110">
          <w:rPr>
            <w:rStyle w:val="Hyperlink"/>
            <w:rFonts w:ascii="Times New Roman" w:hAnsi="Times New Roman" w:cs="Times New Roman"/>
            <w:sz w:val="24"/>
            <w:szCs w:val="24"/>
          </w:rPr>
          <w:t>diegosilva@epagri.sc.gov.br</w:t>
        </w:r>
      </w:hyperlink>
    </w:p>
    <w:p w14:paraId="7E41C429" w14:textId="77777777" w:rsidR="002B428D" w:rsidRDefault="002B428D" w:rsidP="002B4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E2E24" w14:textId="77777777" w:rsidR="002B428D" w:rsidRDefault="002B428D" w:rsidP="003E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6E0DA" w14:textId="47F84DD9" w:rsidR="009539B1" w:rsidRDefault="009405C0" w:rsidP="003E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 </w:t>
      </w:r>
      <w:r w:rsidR="00030B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0BAD" w:rsidRPr="00030BAD">
        <w:rPr>
          <w:rFonts w:ascii="Times New Roman" w:hAnsi="Times New Roman" w:cs="Times New Roman"/>
          <w:sz w:val="24"/>
          <w:szCs w:val="24"/>
        </w:rPr>
        <w:t>Desenvolvimento rural e agricultura familiar</w:t>
      </w:r>
    </w:p>
    <w:p w14:paraId="7D029D5E" w14:textId="77777777" w:rsidR="00030BAD" w:rsidRDefault="00030BAD" w:rsidP="00030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E85B6" w14:textId="77777777" w:rsidR="00BF2363" w:rsidRDefault="00BF2363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737E2" w14:textId="77777777" w:rsidR="00406404" w:rsidRPr="009215D7" w:rsidRDefault="00E52F39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06404" w:rsidRPr="009215D7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A3069BD" w14:textId="472C6B3B" w:rsidR="002E30F6" w:rsidRPr="002B428D" w:rsidRDefault="007A4743" w:rsidP="002E30F6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>A fruta chamada de pitahaya ou pitaya é também conhecida como fruta do dragão (</w:t>
      </w:r>
      <w:proofErr w:type="spellStart"/>
      <w:r w:rsidRPr="009215D7">
        <w:rPr>
          <w:rFonts w:ascii="Times New Roman" w:hAnsi="Times New Roman" w:cs="Times New Roman"/>
          <w:i/>
          <w:sz w:val="24"/>
          <w:szCs w:val="24"/>
        </w:rPr>
        <w:t>dragon</w:t>
      </w:r>
      <w:proofErr w:type="spellEnd"/>
      <w:r w:rsidRPr="009215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5D7">
        <w:rPr>
          <w:rFonts w:ascii="Times New Roman" w:hAnsi="Times New Roman" w:cs="Times New Roman"/>
          <w:i/>
          <w:sz w:val="24"/>
          <w:szCs w:val="24"/>
        </w:rPr>
        <w:t>fruit</w:t>
      </w:r>
      <w:proofErr w:type="spellEnd"/>
      <w:r w:rsidRPr="009215D7">
        <w:rPr>
          <w:rFonts w:ascii="Times New Roman" w:hAnsi="Times New Roman" w:cs="Times New Roman"/>
          <w:sz w:val="24"/>
          <w:szCs w:val="24"/>
        </w:rPr>
        <w:t>) pelos asiáticos e europeus. Atualmente os principais exportadores e consumidores m</w:t>
      </w:r>
      <w:r w:rsidR="008F369A">
        <w:rPr>
          <w:rFonts w:ascii="Times New Roman" w:hAnsi="Times New Roman" w:cs="Times New Roman"/>
          <w:sz w:val="24"/>
          <w:szCs w:val="24"/>
        </w:rPr>
        <w:t>undiais são países asiáticos. A pitaya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8F369A">
        <w:rPr>
          <w:rFonts w:ascii="Times New Roman" w:hAnsi="Times New Roman" w:cs="Times New Roman"/>
          <w:sz w:val="24"/>
          <w:szCs w:val="24"/>
        </w:rPr>
        <w:t>é encontrada</w:t>
      </w:r>
      <w:r w:rsidRPr="009215D7">
        <w:rPr>
          <w:rFonts w:ascii="Times New Roman" w:hAnsi="Times New Roman" w:cs="Times New Roman"/>
          <w:sz w:val="24"/>
          <w:szCs w:val="24"/>
        </w:rPr>
        <w:t xml:space="preserve"> principalmente nas regiões semidesérticas tropicais e subtrop</w:t>
      </w:r>
      <w:r w:rsidR="008F369A">
        <w:rPr>
          <w:rFonts w:ascii="Times New Roman" w:hAnsi="Times New Roman" w:cs="Times New Roman"/>
          <w:sz w:val="24"/>
          <w:szCs w:val="24"/>
        </w:rPr>
        <w:t>icais quentes, sendo originária</w:t>
      </w:r>
      <w:r w:rsidRPr="009215D7">
        <w:rPr>
          <w:rFonts w:ascii="Times New Roman" w:hAnsi="Times New Roman" w:cs="Times New Roman"/>
          <w:sz w:val="24"/>
          <w:szCs w:val="24"/>
        </w:rPr>
        <w:t xml:space="preserve"> do México, Colômbia e das ilhas Caraíbas (LE BELLEC; VAILLANT; IMBERT, 2006).</w:t>
      </w:r>
      <w:r w:rsidR="002B428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B428D">
        <w:rPr>
          <w:rFonts w:ascii="Times New Roman" w:hAnsi="Times New Roman" w:cs="Times New Roman"/>
          <w:sz w:val="24"/>
          <w:szCs w:val="24"/>
        </w:rPr>
        <w:t>No Brasil, o estado catarinense se destaca como produtor de pitaya, mas a</w:t>
      </w:r>
      <w:r w:rsidR="00566AFB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8F369A">
        <w:rPr>
          <w:rFonts w:ascii="Times New Roman" w:hAnsi="Times New Roman" w:cs="Times New Roman"/>
          <w:sz w:val="24"/>
          <w:szCs w:val="24"/>
        </w:rPr>
        <w:t>pouca</w:t>
      </w:r>
      <w:r w:rsidR="00566AFB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8F369A">
        <w:rPr>
          <w:rFonts w:ascii="Times New Roman" w:hAnsi="Times New Roman" w:cs="Times New Roman"/>
          <w:sz w:val="24"/>
          <w:szCs w:val="24"/>
        </w:rPr>
        <w:t>informação</w:t>
      </w:r>
      <w:r w:rsidR="00566AFB" w:rsidRPr="009215D7">
        <w:rPr>
          <w:rFonts w:ascii="Times New Roman" w:hAnsi="Times New Roman" w:cs="Times New Roman"/>
          <w:sz w:val="24"/>
          <w:szCs w:val="24"/>
        </w:rPr>
        <w:t xml:space="preserve"> sobre os produtores, </w:t>
      </w:r>
      <w:r w:rsidR="008F369A">
        <w:rPr>
          <w:rFonts w:ascii="Times New Roman" w:hAnsi="Times New Roman" w:cs="Times New Roman"/>
          <w:sz w:val="24"/>
          <w:szCs w:val="24"/>
        </w:rPr>
        <w:t xml:space="preserve">a </w:t>
      </w:r>
      <w:r w:rsidR="00566AFB" w:rsidRPr="009215D7">
        <w:rPr>
          <w:rFonts w:ascii="Times New Roman" w:hAnsi="Times New Roman" w:cs="Times New Roman"/>
          <w:sz w:val="24"/>
          <w:szCs w:val="24"/>
        </w:rPr>
        <w:t xml:space="preserve">produção e </w:t>
      </w:r>
      <w:r w:rsidR="008F369A">
        <w:rPr>
          <w:rFonts w:ascii="Times New Roman" w:hAnsi="Times New Roman" w:cs="Times New Roman"/>
          <w:sz w:val="24"/>
          <w:szCs w:val="24"/>
        </w:rPr>
        <w:t xml:space="preserve">a </w:t>
      </w:r>
      <w:r w:rsidR="00566AFB" w:rsidRPr="009215D7">
        <w:rPr>
          <w:rFonts w:ascii="Times New Roman" w:hAnsi="Times New Roman" w:cs="Times New Roman"/>
          <w:sz w:val="24"/>
          <w:szCs w:val="24"/>
        </w:rPr>
        <w:t xml:space="preserve">comercialização, </w:t>
      </w:r>
      <w:r w:rsidR="008F369A">
        <w:rPr>
          <w:rFonts w:ascii="Times New Roman" w:hAnsi="Times New Roman" w:cs="Times New Roman"/>
          <w:sz w:val="24"/>
          <w:szCs w:val="24"/>
        </w:rPr>
        <w:t>se t</w:t>
      </w:r>
      <w:r w:rsidR="0082443A">
        <w:rPr>
          <w:rFonts w:ascii="Times New Roman" w:hAnsi="Times New Roman" w:cs="Times New Roman"/>
          <w:sz w:val="24"/>
          <w:szCs w:val="24"/>
        </w:rPr>
        <w:t>or</w:t>
      </w:r>
      <w:r w:rsidR="008F369A">
        <w:rPr>
          <w:rFonts w:ascii="Times New Roman" w:hAnsi="Times New Roman" w:cs="Times New Roman"/>
          <w:sz w:val="24"/>
          <w:szCs w:val="24"/>
        </w:rPr>
        <w:t xml:space="preserve">na um problema </w:t>
      </w:r>
      <w:r w:rsidR="00566AFB" w:rsidRPr="009215D7">
        <w:rPr>
          <w:rFonts w:ascii="Times New Roman" w:hAnsi="Times New Roman" w:cs="Times New Roman"/>
          <w:sz w:val="24"/>
          <w:szCs w:val="24"/>
        </w:rPr>
        <w:t xml:space="preserve">visto o representativo retorno econômico desta atividade no setor frutícola catarinense. </w:t>
      </w:r>
      <w:r w:rsidR="002E30F6">
        <w:rPr>
          <w:rFonts w:ascii="Times New Roman" w:hAnsi="Times New Roman" w:cs="Times New Roman"/>
          <w:sz w:val="24"/>
          <w:szCs w:val="24"/>
        </w:rPr>
        <w:t>Assim, o objetivo deste</w:t>
      </w:r>
      <w:r w:rsidR="002E30F6" w:rsidRPr="009215D7">
        <w:rPr>
          <w:rFonts w:ascii="Times New Roman" w:hAnsi="Times New Roman" w:cs="Times New Roman"/>
          <w:sz w:val="24"/>
          <w:szCs w:val="24"/>
        </w:rPr>
        <w:t xml:space="preserve"> trabalho </w:t>
      </w:r>
      <w:r w:rsidR="002E30F6">
        <w:rPr>
          <w:rFonts w:ascii="Times New Roman" w:hAnsi="Times New Roman" w:cs="Times New Roman"/>
          <w:sz w:val="24"/>
          <w:szCs w:val="24"/>
        </w:rPr>
        <w:t xml:space="preserve">é </w:t>
      </w:r>
      <w:r w:rsidR="002B428D">
        <w:rPr>
          <w:rFonts w:ascii="Times New Roman" w:hAnsi="Times New Roman" w:cs="Times New Roman"/>
          <w:sz w:val="24"/>
          <w:szCs w:val="24"/>
        </w:rPr>
        <w:t xml:space="preserve">caracterizar o mercado </w:t>
      </w:r>
      <w:r w:rsidR="0082443A">
        <w:rPr>
          <w:rFonts w:ascii="Times New Roman" w:hAnsi="Times New Roman" w:cs="Times New Roman"/>
          <w:sz w:val="24"/>
          <w:szCs w:val="24"/>
        </w:rPr>
        <w:t xml:space="preserve">da fruta </w:t>
      </w:r>
      <w:r w:rsidR="002B428D">
        <w:rPr>
          <w:rFonts w:ascii="Times New Roman" w:hAnsi="Times New Roman" w:cs="Times New Roman"/>
          <w:sz w:val="24"/>
          <w:szCs w:val="24"/>
        </w:rPr>
        <w:t xml:space="preserve">e </w:t>
      </w:r>
      <w:r w:rsidR="002E30F6">
        <w:rPr>
          <w:rFonts w:ascii="Times New Roman" w:hAnsi="Times New Roman" w:cs="Times New Roman"/>
          <w:sz w:val="24"/>
          <w:szCs w:val="24"/>
        </w:rPr>
        <w:t>analisar</w:t>
      </w:r>
      <w:r w:rsidR="002E30F6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2E30F6">
        <w:rPr>
          <w:rFonts w:ascii="Times New Roman" w:hAnsi="Times New Roman" w:cs="Times New Roman"/>
          <w:sz w:val="24"/>
          <w:szCs w:val="24"/>
        </w:rPr>
        <w:t xml:space="preserve">os </w:t>
      </w:r>
      <w:r w:rsidR="002E30F6" w:rsidRPr="009215D7">
        <w:rPr>
          <w:rFonts w:ascii="Times New Roman" w:hAnsi="Times New Roman" w:cs="Times New Roman"/>
          <w:sz w:val="24"/>
          <w:szCs w:val="24"/>
        </w:rPr>
        <w:t>resultados d</w:t>
      </w:r>
      <w:r w:rsidR="008F369A">
        <w:rPr>
          <w:rFonts w:ascii="Times New Roman" w:hAnsi="Times New Roman" w:cs="Times New Roman"/>
          <w:sz w:val="24"/>
          <w:szCs w:val="24"/>
        </w:rPr>
        <w:t>e</w:t>
      </w:r>
      <w:r w:rsidR="002E30F6" w:rsidRPr="009215D7">
        <w:rPr>
          <w:rFonts w:ascii="Times New Roman" w:hAnsi="Times New Roman" w:cs="Times New Roman"/>
          <w:sz w:val="24"/>
          <w:szCs w:val="24"/>
        </w:rPr>
        <w:t xml:space="preserve"> pesquisa amostral </w:t>
      </w:r>
      <w:r w:rsidR="002B428D">
        <w:rPr>
          <w:rFonts w:ascii="Times New Roman" w:hAnsi="Times New Roman" w:cs="Times New Roman"/>
          <w:sz w:val="24"/>
          <w:szCs w:val="24"/>
        </w:rPr>
        <w:t>referente a</w:t>
      </w:r>
      <w:r w:rsidR="002E30F6">
        <w:rPr>
          <w:rFonts w:ascii="Times New Roman" w:hAnsi="Times New Roman" w:cs="Times New Roman"/>
          <w:sz w:val="24"/>
          <w:szCs w:val="24"/>
        </w:rPr>
        <w:t xml:space="preserve"> produção e comercialização de pitaya </w:t>
      </w:r>
      <w:r w:rsidR="002E30F6" w:rsidRPr="009215D7">
        <w:rPr>
          <w:rFonts w:ascii="Times New Roman" w:hAnsi="Times New Roman" w:cs="Times New Roman"/>
          <w:sz w:val="24"/>
          <w:szCs w:val="24"/>
        </w:rPr>
        <w:t>na mesorregião do Sul Catarinense</w:t>
      </w:r>
      <w:r w:rsidR="002E30F6">
        <w:rPr>
          <w:rFonts w:ascii="Times New Roman" w:hAnsi="Times New Roman" w:cs="Times New Roman"/>
          <w:sz w:val="24"/>
          <w:szCs w:val="24"/>
        </w:rPr>
        <w:t xml:space="preserve">, com a identificação da participação estadual, uso da terra, análise por estratos de área, condição da posse </w:t>
      </w:r>
      <w:r w:rsidR="00962DCC">
        <w:rPr>
          <w:rFonts w:ascii="Times New Roman" w:hAnsi="Times New Roman" w:cs="Times New Roman"/>
          <w:sz w:val="24"/>
          <w:szCs w:val="24"/>
        </w:rPr>
        <w:t xml:space="preserve">da terra, composição da renda, participação da </w:t>
      </w:r>
      <w:r w:rsidR="002E30F6">
        <w:rPr>
          <w:rFonts w:ascii="Times New Roman" w:hAnsi="Times New Roman" w:cs="Times New Roman"/>
          <w:sz w:val="24"/>
          <w:szCs w:val="24"/>
        </w:rPr>
        <w:t>comercialização por canais de distribuição</w:t>
      </w:r>
      <w:r w:rsidR="00962DCC">
        <w:rPr>
          <w:rFonts w:ascii="Times New Roman" w:hAnsi="Times New Roman" w:cs="Times New Roman"/>
          <w:sz w:val="24"/>
          <w:szCs w:val="24"/>
        </w:rPr>
        <w:t xml:space="preserve"> e principais entraves para a cultura.</w:t>
      </w:r>
    </w:p>
    <w:p w14:paraId="419581CA" w14:textId="77777777" w:rsidR="00566AFB" w:rsidRPr="009215D7" w:rsidRDefault="00566AFB" w:rsidP="00491391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3E0EEC71" w14:textId="14FD6E8A" w:rsidR="00957091" w:rsidRPr="009215D7" w:rsidRDefault="00957091" w:rsidP="009570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>2 METODOLOGIA DE PESQUISA</w:t>
      </w:r>
    </w:p>
    <w:p w14:paraId="5D919227" w14:textId="15FEB93C" w:rsidR="00957091" w:rsidRPr="009215D7" w:rsidRDefault="00957091" w:rsidP="00957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>Para este trabalho fo</w:t>
      </w:r>
      <w:r w:rsidR="000E023D">
        <w:rPr>
          <w:rFonts w:ascii="Times New Roman" w:hAnsi="Times New Roman" w:cs="Times New Roman"/>
          <w:sz w:val="24"/>
          <w:szCs w:val="24"/>
        </w:rPr>
        <w:t>ram</w:t>
      </w:r>
      <w:r w:rsidRPr="009215D7">
        <w:rPr>
          <w:rFonts w:ascii="Times New Roman" w:hAnsi="Times New Roman" w:cs="Times New Roman"/>
          <w:sz w:val="24"/>
          <w:szCs w:val="24"/>
        </w:rPr>
        <w:t xml:space="preserve"> usado</w:t>
      </w:r>
      <w:r w:rsidR="000E023D">
        <w:rPr>
          <w:rFonts w:ascii="Times New Roman" w:hAnsi="Times New Roman" w:cs="Times New Roman"/>
          <w:sz w:val="24"/>
          <w:szCs w:val="24"/>
        </w:rPr>
        <w:t>s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0E023D">
        <w:rPr>
          <w:rFonts w:ascii="Times New Roman" w:hAnsi="Times New Roman" w:cs="Times New Roman"/>
          <w:sz w:val="24"/>
          <w:szCs w:val="24"/>
        </w:rPr>
        <w:t xml:space="preserve">os </w:t>
      </w:r>
      <w:r w:rsidRPr="009215D7">
        <w:rPr>
          <w:rFonts w:ascii="Times New Roman" w:hAnsi="Times New Roman" w:cs="Times New Roman"/>
          <w:sz w:val="24"/>
          <w:szCs w:val="24"/>
        </w:rPr>
        <w:t>método</w:t>
      </w:r>
      <w:r w:rsidR="000E023D">
        <w:rPr>
          <w:rFonts w:ascii="Times New Roman" w:hAnsi="Times New Roman" w:cs="Times New Roman"/>
          <w:sz w:val="24"/>
          <w:szCs w:val="24"/>
        </w:rPr>
        <w:t>s</w:t>
      </w:r>
      <w:r w:rsidRPr="009215D7">
        <w:rPr>
          <w:rFonts w:ascii="Times New Roman" w:hAnsi="Times New Roman" w:cs="Times New Roman"/>
          <w:sz w:val="24"/>
          <w:szCs w:val="24"/>
        </w:rPr>
        <w:t xml:space="preserve"> de pesquisa documental e descritivo a partir de dados do Censo Agropecuário (IBGE, 2019), do relatório parcial do levantamento das frutas de clima subtropical (GOULART JR, REITER, VEIGA, 2022) e do relatório do diagnóstico da cultura da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Pr="009215D7">
        <w:rPr>
          <w:rFonts w:ascii="Times New Roman" w:hAnsi="Times New Roman" w:cs="Times New Roman"/>
          <w:sz w:val="24"/>
          <w:szCs w:val="24"/>
        </w:rPr>
        <w:t xml:space="preserve"> (GOULART JR., REITER, 2022) com dados a partir de amostra representativa de produtores de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Pr="009215D7">
        <w:rPr>
          <w:rFonts w:ascii="Times New Roman" w:hAnsi="Times New Roman" w:cs="Times New Roman"/>
          <w:sz w:val="24"/>
          <w:szCs w:val="24"/>
        </w:rPr>
        <w:t xml:space="preserve"> localizados na região do Sul Catarinense </w:t>
      </w:r>
      <w:r w:rsidR="007A4743" w:rsidRPr="009215D7">
        <w:rPr>
          <w:rFonts w:ascii="Times New Roman" w:hAnsi="Times New Roman" w:cs="Times New Roman"/>
          <w:sz w:val="24"/>
          <w:szCs w:val="24"/>
        </w:rPr>
        <w:t xml:space="preserve">e </w:t>
      </w:r>
      <w:r w:rsidRPr="009215D7">
        <w:rPr>
          <w:rFonts w:ascii="Times New Roman" w:hAnsi="Times New Roman" w:cs="Times New Roman"/>
          <w:sz w:val="24"/>
          <w:szCs w:val="24"/>
        </w:rPr>
        <w:t xml:space="preserve">com informações referentes a </w:t>
      </w:r>
      <w:r w:rsidR="000E023D">
        <w:rPr>
          <w:rFonts w:ascii="Times New Roman" w:hAnsi="Times New Roman" w:cs="Times New Roman"/>
          <w:sz w:val="24"/>
          <w:szCs w:val="24"/>
        </w:rPr>
        <w:t xml:space="preserve">levantamento da </w:t>
      </w:r>
      <w:r w:rsidRPr="009215D7">
        <w:rPr>
          <w:rFonts w:ascii="Times New Roman" w:hAnsi="Times New Roman" w:cs="Times New Roman"/>
          <w:sz w:val="24"/>
          <w:szCs w:val="24"/>
        </w:rPr>
        <w:t xml:space="preserve">safra 2021/22. </w:t>
      </w:r>
    </w:p>
    <w:p w14:paraId="4A2EA2C9" w14:textId="77777777" w:rsidR="00406404" w:rsidRPr="009215D7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466AE" w14:textId="77777777" w:rsidR="009170F5" w:rsidRDefault="00957091" w:rsidP="007D4A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>3</w:t>
      </w:r>
      <w:r w:rsidR="00A61DBA" w:rsidRPr="0092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5D7">
        <w:rPr>
          <w:rFonts w:ascii="Times New Roman" w:hAnsi="Times New Roman" w:cs="Times New Roman"/>
          <w:b/>
          <w:sz w:val="24"/>
          <w:szCs w:val="24"/>
        </w:rPr>
        <w:t>RESULTADO E DISCUSSÃO</w:t>
      </w:r>
    </w:p>
    <w:p w14:paraId="153B2E4C" w14:textId="0879E04B" w:rsidR="0082443A" w:rsidRPr="009215D7" w:rsidRDefault="0082443A" w:rsidP="007D4A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 xml:space="preserve">3.1 Mercado </w:t>
      </w:r>
      <w:r>
        <w:rPr>
          <w:rFonts w:ascii="Times New Roman" w:hAnsi="Times New Roman" w:cs="Times New Roman"/>
          <w:b/>
          <w:sz w:val="24"/>
          <w:szCs w:val="24"/>
        </w:rPr>
        <w:t>mundial e brasileiro</w:t>
      </w:r>
    </w:p>
    <w:p w14:paraId="37D41F7A" w14:textId="636F99A7" w:rsidR="00362565" w:rsidRPr="009215D7" w:rsidRDefault="00D9097F" w:rsidP="005F5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lastRenderedPageBreak/>
        <w:t>Em 2020,</w:t>
      </w:r>
      <w:r w:rsidR="0002282B" w:rsidRPr="009215D7">
        <w:rPr>
          <w:rFonts w:ascii="Times New Roman" w:hAnsi="Times New Roman" w:cs="Times New Roman"/>
          <w:sz w:val="24"/>
          <w:szCs w:val="24"/>
        </w:rPr>
        <w:t xml:space="preserve"> as exportações</w:t>
      </w:r>
      <w:r w:rsidRPr="009215D7">
        <w:rPr>
          <w:rFonts w:ascii="Times New Roman" w:hAnsi="Times New Roman" w:cs="Times New Roman"/>
          <w:sz w:val="24"/>
          <w:szCs w:val="24"/>
        </w:rPr>
        <w:t xml:space="preserve"> mundiais</w:t>
      </w:r>
      <w:r w:rsidR="0002282B" w:rsidRPr="009215D7">
        <w:rPr>
          <w:rFonts w:ascii="Times New Roman" w:hAnsi="Times New Roman" w:cs="Times New Roman"/>
          <w:sz w:val="24"/>
          <w:szCs w:val="24"/>
        </w:rPr>
        <w:t xml:space="preserve"> da fruta do dragão soma</w:t>
      </w:r>
      <w:r w:rsidRPr="009215D7">
        <w:rPr>
          <w:rFonts w:ascii="Times New Roman" w:hAnsi="Times New Roman" w:cs="Times New Roman"/>
          <w:sz w:val="24"/>
          <w:szCs w:val="24"/>
        </w:rPr>
        <w:t>ra</w:t>
      </w:r>
      <w:r w:rsidR="0002282B" w:rsidRPr="009215D7">
        <w:rPr>
          <w:rFonts w:ascii="Times New Roman" w:hAnsi="Times New Roman" w:cs="Times New Roman"/>
          <w:sz w:val="24"/>
          <w:szCs w:val="24"/>
        </w:rPr>
        <w:t>m mais de US$ 4,2</w:t>
      </w:r>
      <w:r w:rsidR="00BF3E4A" w:rsidRPr="009215D7">
        <w:rPr>
          <w:rFonts w:ascii="Times New Roman" w:hAnsi="Times New Roman" w:cs="Times New Roman"/>
          <w:sz w:val="24"/>
          <w:szCs w:val="24"/>
        </w:rPr>
        <w:t>8</w:t>
      </w:r>
      <w:r w:rsidR="0002282B" w:rsidRPr="009215D7">
        <w:rPr>
          <w:rFonts w:ascii="Times New Roman" w:hAnsi="Times New Roman" w:cs="Times New Roman"/>
          <w:sz w:val="24"/>
          <w:szCs w:val="24"/>
        </w:rPr>
        <w:t xml:space="preserve"> bilhões para um volume de </w:t>
      </w:r>
      <w:r w:rsidRPr="009215D7">
        <w:rPr>
          <w:rFonts w:ascii="Times New Roman" w:hAnsi="Times New Roman" w:cs="Times New Roman"/>
          <w:sz w:val="24"/>
          <w:szCs w:val="24"/>
        </w:rPr>
        <w:t>1,8</w:t>
      </w:r>
      <w:r w:rsidR="00BF3E4A" w:rsidRPr="009215D7">
        <w:rPr>
          <w:rFonts w:ascii="Times New Roman" w:hAnsi="Times New Roman" w:cs="Times New Roman"/>
          <w:sz w:val="24"/>
          <w:szCs w:val="24"/>
        </w:rPr>
        <w:t>7</w:t>
      </w:r>
      <w:r w:rsidRPr="009215D7">
        <w:rPr>
          <w:rFonts w:ascii="Times New Roman" w:hAnsi="Times New Roman" w:cs="Times New Roman"/>
          <w:sz w:val="24"/>
          <w:szCs w:val="24"/>
        </w:rPr>
        <w:t xml:space="preserve"> milhões de toneladas. Os principais países exportadores foram: Vietnã com US$ 1,3</w:t>
      </w:r>
      <w:r w:rsidR="00BF3E4A" w:rsidRPr="009215D7">
        <w:rPr>
          <w:rFonts w:ascii="Times New Roman" w:hAnsi="Times New Roman" w:cs="Times New Roman"/>
          <w:sz w:val="24"/>
          <w:szCs w:val="24"/>
        </w:rPr>
        <w:t>4</w:t>
      </w:r>
      <w:r w:rsidRPr="009215D7">
        <w:rPr>
          <w:rFonts w:ascii="Times New Roman" w:hAnsi="Times New Roman" w:cs="Times New Roman"/>
          <w:sz w:val="24"/>
          <w:szCs w:val="24"/>
        </w:rPr>
        <w:t xml:space="preserve"> bilhão (31%), Tailândia US$ 642,57 milhões (15%), Países Baixos US$ 339,22 milhões (8</w:t>
      </w:r>
      <w:r w:rsidR="009F7AB3" w:rsidRPr="009215D7">
        <w:rPr>
          <w:rFonts w:ascii="Times New Roman" w:hAnsi="Times New Roman" w:cs="Times New Roman"/>
          <w:sz w:val="24"/>
          <w:szCs w:val="24"/>
        </w:rPr>
        <w:t xml:space="preserve">%) e China 251,67 milhões (6%) </w:t>
      </w:r>
      <w:r w:rsidR="00322A0E" w:rsidRPr="009215D7">
        <w:rPr>
          <w:rFonts w:ascii="Times New Roman" w:hAnsi="Times New Roman" w:cs="Times New Roman"/>
          <w:sz w:val="24"/>
          <w:szCs w:val="24"/>
        </w:rPr>
        <w:t>(TRIDGE, 2023)</w:t>
      </w:r>
      <w:r w:rsidRPr="009215D7">
        <w:rPr>
          <w:rFonts w:ascii="Times New Roman" w:hAnsi="Times New Roman" w:cs="Times New Roman"/>
          <w:sz w:val="24"/>
          <w:szCs w:val="24"/>
        </w:rPr>
        <w:t>.</w:t>
      </w:r>
    </w:p>
    <w:p w14:paraId="6E0E70D8" w14:textId="69CBE4F7" w:rsidR="00622E97" w:rsidRDefault="00622E97" w:rsidP="00622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 xml:space="preserve">Conforme o Censo Agropecuário de 2017 (IBGE, 2019), a produção brasileira da pitaya </w:t>
      </w:r>
      <w:r w:rsidR="00894F84" w:rsidRPr="009215D7">
        <w:rPr>
          <w:rFonts w:ascii="Times New Roman" w:hAnsi="Times New Roman" w:cs="Times New Roman"/>
          <w:sz w:val="24"/>
          <w:szCs w:val="24"/>
        </w:rPr>
        <w:t>é</w:t>
      </w:r>
      <w:r w:rsidRPr="009215D7">
        <w:rPr>
          <w:rFonts w:ascii="Times New Roman" w:hAnsi="Times New Roman" w:cs="Times New Roman"/>
          <w:sz w:val="24"/>
          <w:szCs w:val="24"/>
        </w:rPr>
        <w:t xml:space="preserve"> de 1.409 toneladas, com 606 produtores distribuídos em 1.100 hectares de área e gerando um valor bruto da produção (VBP) de cerca de R$8,6 milhões.</w:t>
      </w:r>
      <w:r w:rsidR="007D4AC4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F92790" w:rsidRPr="009215D7">
        <w:rPr>
          <w:rFonts w:ascii="Times New Roman" w:hAnsi="Times New Roman" w:cs="Times New Roman"/>
          <w:sz w:val="24"/>
          <w:szCs w:val="24"/>
        </w:rPr>
        <w:t xml:space="preserve">Os principais estados produtores da fruta </w:t>
      </w:r>
      <w:r w:rsidR="00894F84" w:rsidRPr="009215D7">
        <w:rPr>
          <w:rFonts w:ascii="Times New Roman" w:hAnsi="Times New Roman" w:cs="Times New Roman"/>
          <w:sz w:val="24"/>
          <w:szCs w:val="24"/>
        </w:rPr>
        <w:t>são</w:t>
      </w:r>
      <w:r w:rsidR="00F92790" w:rsidRPr="009215D7">
        <w:rPr>
          <w:rFonts w:ascii="Times New Roman" w:hAnsi="Times New Roman" w:cs="Times New Roman"/>
          <w:sz w:val="24"/>
          <w:szCs w:val="24"/>
        </w:rPr>
        <w:t xml:space="preserve"> São Paulo, Santa Catarina, Minas Gerais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F92790" w:rsidRPr="009215D7">
        <w:rPr>
          <w:rFonts w:ascii="Times New Roman" w:hAnsi="Times New Roman" w:cs="Times New Roman"/>
          <w:sz w:val="24"/>
          <w:szCs w:val="24"/>
        </w:rPr>
        <w:t>e Pará</w:t>
      </w:r>
      <w:r w:rsidRPr="009215D7">
        <w:rPr>
          <w:rFonts w:ascii="Times New Roman" w:hAnsi="Times New Roman" w:cs="Times New Roman"/>
          <w:sz w:val="24"/>
          <w:szCs w:val="24"/>
        </w:rPr>
        <w:t xml:space="preserve"> que juntos somam 89,2% da produção nacional e 81,5% do VBP gerado na cultura. São Paulo participa com 30,3% da área total</w:t>
      </w:r>
      <w:r w:rsidR="00442EC1">
        <w:rPr>
          <w:rFonts w:ascii="Times New Roman" w:hAnsi="Times New Roman" w:cs="Times New Roman"/>
          <w:sz w:val="24"/>
          <w:szCs w:val="24"/>
        </w:rPr>
        <w:t xml:space="preserve"> e</w:t>
      </w:r>
      <w:r w:rsidRPr="009215D7">
        <w:rPr>
          <w:rFonts w:ascii="Times New Roman" w:hAnsi="Times New Roman" w:cs="Times New Roman"/>
          <w:sz w:val="24"/>
          <w:szCs w:val="24"/>
        </w:rPr>
        <w:t xml:space="preserve"> 41,2% da produção da fruta. Santa Catarina participa com 9,7% da área total</w:t>
      </w:r>
      <w:r w:rsidR="00442EC1">
        <w:rPr>
          <w:rFonts w:ascii="Times New Roman" w:hAnsi="Times New Roman" w:cs="Times New Roman"/>
          <w:sz w:val="24"/>
          <w:szCs w:val="24"/>
        </w:rPr>
        <w:t xml:space="preserve"> e</w:t>
      </w:r>
      <w:r w:rsidRPr="009215D7">
        <w:rPr>
          <w:rFonts w:ascii="Times New Roman" w:hAnsi="Times New Roman" w:cs="Times New Roman"/>
          <w:sz w:val="24"/>
          <w:szCs w:val="24"/>
        </w:rPr>
        <w:t xml:space="preserve"> 24,6% da produção. Minas Gerais participa com 6,0% da área total</w:t>
      </w:r>
      <w:r w:rsidR="00442EC1">
        <w:rPr>
          <w:rFonts w:ascii="Times New Roman" w:hAnsi="Times New Roman" w:cs="Times New Roman"/>
          <w:sz w:val="24"/>
          <w:szCs w:val="24"/>
        </w:rPr>
        <w:t xml:space="preserve"> e</w:t>
      </w:r>
      <w:r w:rsidRPr="009215D7">
        <w:rPr>
          <w:rFonts w:ascii="Times New Roman" w:hAnsi="Times New Roman" w:cs="Times New Roman"/>
          <w:sz w:val="24"/>
          <w:szCs w:val="24"/>
        </w:rPr>
        <w:t xml:space="preserve"> 12,7% da produção. </w:t>
      </w:r>
      <w:r w:rsidR="00442EC1">
        <w:rPr>
          <w:rFonts w:ascii="Times New Roman" w:hAnsi="Times New Roman" w:cs="Times New Roman"/>
          <w:sz w:val="24"/>
          <w:szCs w:val="24"/>
        </w:rPr>
        <w:t xml:space="preserve">O </w:t>
      </w:r>
      <w:r w:rsidRPr="009215D7">
        <w:rPr>
          <w:rFonts w:ascii="Times New Roman" w:hAnsi="Times New Roman" w:cs="Times New Roman"/>
          <w:sz w:val="24"/>
          <w:szCs w:val="24"/>
        </w:rPr>
        <w:t>Pará participa com 8,9% da área total</w:t>
      </w:r>
      <w:r w:rsidR="00442EC1">
        <w:rPr>
          <w:rFonts w:ascii="Times New Roman" w:hAnsi="Times New Roman" w:cs="Times New Roman"/>
          <w:sz w:val="24"/>
          <w:szCs w:val="24"/>
        </w:rPr>
        <w:t xml:space="preserve"> e</w:t>
      </w:r>
      <w:r w:rsidRPr="009215D7">
        <w:rPr>
          <w:rFonts w:ascii="Times New Roman" w:hAnsi="Times New Roman" w:cs="Times New Roman"/>
          <w:sz w:val="24"/>
          <w:szCs w:val="24"/>
        </w:rPr>
        <w:t xml:space="preserve"> 10,7% da produção da fruta (IBGE, 2019).</w:t>
      </w:r>
    </w:p>
    <w:p w14:paraId="3BA81D82" w14:textId="41D3A328" w:rsidR="00A61DBA" w:rsidRPr="009215D7" w:rsidRDefault="009170F5" w:rsidP="00A61D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>3.</w:t>
      </w:r>
      <w:r w:rsidR="0082443A">
        <w:rPr>
          <w:rFonts w:ascii="Times New Roman" w:hAnsi="Times New Roman" w:cs="Times New Roman"/>
          <w:b/>
          <w:sz w:val="24"/>
          <w:szCs w:val="24"/>
        </w:rPr>
        <w:t>2</w:t>
      </w:r>
      <w:r w:rsidRPr="0092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AFB" w:rsidRPr="009215D7">
        <w:rPr>
          <w:rFonts w:ascii="Times New Roman" w:hAnsi="Times New Roman" w:cs="Times New Roman"/>
          <w:b/>
          <w:sz w:val="24"/>
          <w:szCs w:val="24"/>
        </w:rPr>
        <w:t>Mercado em Santa Catarina</w:t>
      </w:r>
    </w:p>
    <w:p w14:paraId="56C906E5" w14:textId="3E28FF2A" w:rsidR="00A61DBA" w:rsidRPr="009215D7" w:rsidRDefault="007A4743" w:rsidP="00A61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>No</w:t>
      </w:r>
      <w:r w:rsidR="00E36B0E" w:rsidRPr="009215D7">
        <w:rPr>
          <w:rFonts w:ascii="Times New Roman" w:hAnsi="Times New Roman" w:cs="Times New Roman"/>
          <w:sz w:val="24"/>
          <w:szCs w:val="24"/>
        </w:rPr>
        <w:t xml:space="preserve"> estado de Santa Catarina, segundo levantamento da fruticultura de clima </w:t>
      </w:r>
      <w:r w:rsidR="00CA4722" w:rsidRPr="009215D7">
        <w:rPr>
          <w:rFonts w:ascii="Times New Roman" w:hAnsi="Times New Roman" w:cs="Times New Roman"/>
          <w:sz w:val="24"/>
          <w:szCs w:val="24"/>
        </w:rPr>
        <w:t>subtropical de 2021/22 (GOULART JR; REITER; VEIGA, 2022</w:t>
      </w:r>
      <w:r w:rsidR="00491391" w:rsidRPr="009215D7">
        <w:rPr>
          <w:rFonts w:ascii="Times New Roman" w:hAnsi="Times New Roman" w:cs="Times New Roman"/>
          <w:sz w:val="24"/>
          <w:szCs w:val="24"/>
        </w:rPr>
        <w:t>)</w:t>
      </w:r>
      <w:r w:rsidR="00E36B0E" w:rsidRPr="009215D7">
        <w:rPr>
          <w:rFonts w:ascii="Times New Roman" w:hAnsi="Times New Roman" w:cs="Times New Roman"/>
          <w:sz w:val="24"/>
          <w:szCs w:val="24"/>
        </w:rPr>
        <w:t xml:space="preserve">, </w:t>
      </w:r>
      <w:r w:rsidR="00CA4722" w:rsidRPr="009215D7">
        <w:rPr>
          <w:rFonts w:ascii="Times New Roman" w:hAnsi="Times New Roman" w:cs="Times New Roman"/>
          <w:sz w:val="24"/>
          <w:szCs w:val="24"/>
        </w:rPr>
        <w:t xml:space="preserve">a produção de pitaya </w:t>
      </w:r>
      <w:r w:rsidRPr="009215D7">
        <w:rPr>
          <w:rFonts w:ascii="Times New Roman" w:hAnsi="Times New Roman" w:cs="Times New Roman"/>
          <w:sz w:val="24"/>
          <w:szCs w:val="24"/>
        </w:rPr>
        <w:t>conta com 389 produtores distribuídos em</w:t>
      </w:r>
      <w:r w:rsidR="00E36B0E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Pr="009215D7">
        <w:rPr>
          <w:rFonts w:ascii="Times New Roman" w:hAnsi="Times New Roman" w:cs="Times New Roman"/>
          <w:sz w:val="24"/>
          <w:szCs w:val="24"/>
        </w:rPr>
        <w:t xml:space="preserve">310,4 ha área </w:t>
      </w:r>
      <w:r w:rsidR="00E36B0E" w:rsidRPr="009215D7">
        <w:rPr>
          <w:rFonts w:ascii="Times New Roman" w:hAnsi="Times New Roman" w:cs="Times New Roman"/>
          <w:sz w:val="24"/>
          <w:szCs w:val="24"/>
        </w:rPr>
        <w:t xml:space="preserve">plantada </w:t>
      </w:r>
      <w:r w:rsidRPr="009215D7">
        <w:rPr>
          <w:rFonts w:ascii="Times New Roman" w:hAnsi="Times New Roman" w:cs="Times New Roman"/>
          <w:sz w:val="24"/>
          <w:szCs w:val="24"/>
        </w:rPr>
        <w:t>e</w:t>
      </w:r>
      <w:r w:rsidR="00E36B0E" w:rsidRPr="009215D7">
        <w:rPr>
          <w:rFonts w:ascii="Times New Roman" w:hAnsi="Times New Roman" w:cs="Times New Roman"/>
          <w:sz w:val="24"/>
          <w:szCs w:val="24"/>
        </w:rPr>
        <w:t xml:space="preserve"> 276,4 ha</w:t>
      </w:r>
      <w:r w:rsidRPr="009215D7">
        <w:rPr>
          <w:rFonts w:ascii="Times New Roman" w:hAnsi="Times New Roman" w:cs="Times New Roman"/>
          <w:sz w:val="24"/>
          <w:szCs w:val="24"/>
        </w:rPr>
        <w:t xml:space="preserve"> de área em produção</w:t>
      </w:r>
      <w:r w:rsidR="00E36B0E" w:rsidRPr="009215D7">
        <w:rPr>
          <w:rFonts w:ascii="Times New Roman" w:hAnsi="Times New Roman" w:cs="Times New Roman"/>
          <w:sz w:val="24"/>
          <w:szCs w:val="24"/>
        </w:rPr>
        <w:t>. A produtividade média da cultura é de 16.365 kg/ha, com uma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produção de 4.523 toneladas. </w:t>
      </w:r>
      <w:r w:rsidR="00E36B0E" w:rsidRPr="009215D7">
        <w:rPr>
          <w:rFonts w:ascii="Times New Roman" w:hAnsi="Times New Roman" w:cs="Times New Roman"/>
          <w:sz w:val="24"/>
          <w:szCs w:val="24"/>
        </w:rPr>
        <w:t xml:space="preserve">Na comparação com dados do levantamento realizado em 2017/18, </w:t>
      </w:r>
      <w:r w:rsidR="00D012EB" w:rsidRPr="009215D7">
        <w:rPr>
          <w:rFonts w:ascii="Times New Roman" w:hAnsi="Times New Roman" w:cs="Times New Roman"/>
          <w:sz w:val="24"/>
          <w:szCs w:val="24"/>
        </w:rPr>
        <w:t xml:space="preserve">na safra 2021/22 </w:t>
      </w:r>
      <w:r w:rsidR="00E36B0E" w:rsidRPr="009215D7">
        <w:rPr>
          <w:rFonts w:ascii="Times New Roman" w:hAnsi="Times New Roman" w:cs="Times New Roman"/>
          <w:sz w:val="24"/>
          <w:szCs w:val="24"/>
        </w:rPr>
        <w:t>verificou-se um aumento de 139% no número de produ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tores, 154% da área plantada, </w:t>
      </w:r>
      <w:r w:rsidR="00E36B0E" w:rsidRPr="009215D7">
        <w:rPr>
          <w:rFonts w:ascii="Times New Roman" w:hAnsi="Times New Roman" w:cs="Times New Roman"/>
          <w:sz w:val="24"/>
          <w:szCs w:val="24"/>
        </w:rPr>
        <w:t>247% na quantidade produzida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e 396% o valor bruto da produção - VBP </w:t>
      </w:r>
      <w:r w:rsidR="001D5D6E" w:rsidRPr="009215D7">
        <w:rPr>
          <w:rFonts w:ascii="Times New Roman" w:hAnsi="Times New Roman" w:cs="Times New Roman"/>
          <w:sz w:val="24"/>
          <w:szCs w:val="24"/>
        </w:rPr>
        <w:t>(Figura 1)</w:t>
      </w:r>
      <w:r w:rsidR="00E36B0E" w:rsidRPr="009215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87066" w14:textId="757D3465" w:rsidR="00491391" w:rsidRPr="009215D7" w:rsidRDefault="00491391" w:rsidP="0049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8A2B394" wp14:editId="29543975">
            <wp:extent cx="5541645" cy="2476500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58" cy="2477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3E994" w14:textId="5AE95F93" w:rsidR="007822D7" w:rsidRPr="009215D7" w:rsidRDefault="007822D7" w:rsidP="00491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215D7">
        <w:rPr>
          <w:rFonts w:ascii="Times New Roman" w:hAnsi="Times New Roman" w:cs="Times New Roman"/>
          <w:sz w:val="20"/>
          <w:szCs w:val="24"/>
        </w:rPr>
        <w:t>Figura 1 – Pit</w:t>
      </w:r>
      <w:r w:rsidR="002B428D">
        <w:rPr>
          <w:rFonts w:ascii="Times New Roman" w:hAnsi="Times New Roman" w:cs="Times New Roman"/>
          <w:sz w:val="20"/>
          <w:szCs w:val="24"/>
        </w:rPr>
        <w:t xml:space="preserve">aya: número de produtores, áreas, produção </w:t>
      </w:r>
      <w:r w:rsidRPr="009215D7">
        <w:rPr>
          <w:rFonts w:ascii="Times New Roman" w:hAnsi="Times New Roman" w:cs="Times New Roman"/>
          <w:sz w:val="20"/>
          <w:szCs w:val="24"/>
        </w:rPr>
        <w:t xml:space="preserve">e valor bruto da produção </w:t>
      </w:r>
      <w:r w:rsidR="002B428D">
        <w:rPr>
          <w:rFonts w:ascii="Times New Roman" w:hAnsi="Times New Roman" w:cs="Times New Roman"/>
          <w:sz w:val="20"/>
          <w:szCs w:val="24"/>
        </w:rPr>
        <w:t xml:space="preserve">- </w:t>
      </w:r>
      <w:r w:rsidRPr="009215D7">
        <w:rPr>
          <w:rFonts w:ascii="Times New Roman" w:hAnsi="Times New Roman" w:cs="Times New Roman"/>
          <w:sz w:val="20"/>
          <w:szCs w:val="24"/>
        </w:rPr>
        <w:t>2017/18 e 2021/22.</w:t>
      </w:r>
    </w:p>
    <w:p w14:paraId="3F579E89" w14:textId="4A6B2D15" w:rsidR="007822D7" w:rsidRPr="009215D7" w:rsidRDefault="007822D7" w:rsidP="00491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215D7">
        <w:rPr>
          <w:rFonts w:ascii="Times New Roman" w:hAnsi="Times New Roman" w:cs="Times New Roman"/>
          <w:sz w:val="20"/>
          <w:szCs w:val="24"/>
        </w:rPr>
        <w:t>Fonte: autores.</w:t>
      </w:r>
    </w:p>
    <w:p w14:paraId="3377CA2B" w14:textId="47BC4A3C" w:rsidR="001D5D6E" w:rsidRPr="009215D7" w:rsidRDefault="00566AFB" w:rsidP="00566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82443A">
        <w:rPr>
          <w:rFonts w:ascii="Times New Roman" w:hAnsi="Times New Roman" w:cs="Times New Roman"/>
          <w:b/>
          <w:sz w:val="24"/>
          <w:szCs w:val="24"/>
        </w:rPr>
        <w:t>3</w:t>
      </w:r>
      <w:r w:rsidRPr="009215D7">
        <w:rPr>
          <w:rFonts w:ascii="Times New Roman" w:hAnsi="Times New Roman" w:cs="Times New Roman"/>
          <w:b/>
          <w:sz w:val="24"/>
          <w:szCs w:val="24"/>
        </w:rPr>
        <w:t xml:space="preserve"> Mesorregião Sul Catarinense</w:t>
      </w:r>
    </w:p>
    <w:p w14:paraId="52465787" w14:textId="26F28BEB" w:rsidR="00E36B0E" w:rsidRPr="009215D7" w:rsidRDefault="001D5D6E" w:rsidP="0049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>A principal região produtora é o Sul Catarinense, onde se encontram cerca de 79% dos produtores da fruta, 83,9% da área plantada e 91% da produção estadual. A produtividade da região é de 17.489 kg/ha com aumento de 10%</w:t>
      </w:r>
      <w:r w:rsidR="007A4743" w:rsidRPr="009215D7">
        <w:rPr>
          <w:rFonts w:ascii="Times New Roman" w:hAnsi="Times New Roman" w:cs="Times New Roman"/>
          <w:sz w:val="24"/>
          <w:szCs w:val="24"/>
        </w:rPr>
        <w:t xml:space="preserve"> no período</w:t>
      </w:r>
      <w:r w:rsidRPr="009215D7">
        <w:rPr>
          <w:rFonts w:ascii="Times New Roman" w:hAnsi="Times New Roman" w:cs="Times New Roman"/>
          <w:sz w:val="24"/>
          <w:szCs w:val="24"/>
        </w:rPr>
        <w:t xml:space="preserve">. Os municípios de São João do Sul, Jacinto Machado e Sombrio representam respectivamente 19,3%, 11,3% e 9% do total da área de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Pr="009215D7">
        <w:rPr>
          <w:rFonts w:ascii="Times New Roman" w:hAnsi="Times New Roman" w:cs="Times New Roman"/>
          <w:sz w:val="24"/>
          <w:szCs w:val="24"/>
        </w:rPr>
        <w:t xml:space="preserve"> plantada no estado. </w:t>
      </w:r>
    </w:p>
    <w:p w14:paraId="1570FB28" w14:textId="21C2FB77" w:rsidR="00846BBF" w:rsidRPr="009215D7" w:rsidRDefault="00B1532A" w:rsidP="00846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 xml:space="preserve">Na mesorregião do Sul Catarinense, </w:t>
      </w:r>
      <w:r w:rsidR="00846BBF" w:rsidRPr="00376CE0">
        <w:rPr>
          <w:rFonts w:ascii="Times New Roman" w:hAnsi="Times New Roman" w:cs="Times New Roman"/>
          <w:sz w:val="24"/>
          <w:szCs w:val="24"/>
        </w:rPr>
        <w:t xml:space="preserve">o </w:t>
      </w:r>
      <w:r w:rsidRPr="00376CE0">
        <w:rPr>
          <w:rFonts w:ascii="Times New Roman" w:hAnsi="Times New Roman" w:cs="Times New Roman"/>
          <w:sz w:val="24"/>
          <w:szCs w:val="24"/>
        </w:rPr>
        <w:t>uso da terra</w:t>
      </w:r>
      <w:r w:rsidR="00543F2D">
        <w:rPr>
          <w:rFonts w:ascii="Times New Roman" w:hAnsi="Times New Roman" w:cs="Times New Roman"/>
          <w:sz w:val="24"/>
          <w:szCs w:val="24"/>
        </w:rPr>
        <w:t>,</w:t>
      </w:r>
      <w:r w:rsidR="007A4743" w:rsidRPr="009215D7">
        <w:rPr>
          <w:rFonts w:ascii="Times New Roman" w:hAnsi="Times New Roman" w:cs="Times New Roman"/>
          <w:sz w:val="24"/>
          <w:szCs w:val="24"/>
        </w:rPr>
        <w:t xml:space="preserve"> com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relação ao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total das áreas dos estabelecimentos da amostra</w:t>
      </w:r>
      <w:r w:rsidR="002E5F88" w:rsidRPr="009215D7">
        <w:rPr>
          <w:rFonts w:ascii="Times New Roman" w:hAnsi="Times New Roman" w:cs="Times New Roman"/>
          <w:sz w:val="24"/>
          <w:szCs w:val="24"/>
        </w:rPr>
        <w:t xml:space="preserve">, </w:t>
      </w:r>
      <w:r w:rsidR="007A4743" w:rsidRPr="009215D7">
        <w:rPr>
          <w:rFonts w:ascii="Times New Roman" w:hAnsi="Times New Roman" w:cs="Times New Roman"/>
          <w:sz w:val="24"/>
          <w:szCs w:val="24"/>
        </w:rPr>
        <w:t>apresenta com</w:t>
      </w:r>
      <w:r w:rsidR="00543F2D">
        <w:rPr>
          <w:rFonts w:ascii="Times New Roman" w:hAnsi="Times New Roman" w:cs="Times New Roman"/>
          <w:sz w:val="24"/>
          <w:szCs w:val="24"/>
        </w:rPr>
        <w:t>o</w:t>
      </w:r>
      <w:r w:rsidR="007A4743" w:rsidRPr="009215D7">
        <w:rPr>
          <w:rFonts w:ascii="Times New Roman" w:hAnsi="Times New Roman" w:cs="Times New Roman"/>
          <w:sz w:val="24"/>
          <w:szCs w:val="24"/>
        </w:rPr>
        <w:t xml:space="preserve"> resultado que</w:t>
      </w:r>
      <w:r w:rsidR="002E5F88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846BBF" w:rsidRPr="009215D7">
        <w:rPr>
          <w:rFonts w:ascii="Times New Roman" w:hAnsi="Times New Roman" w:cs="Times New Roman"/>
          <w:sz w:val="24"/>
          <w:szCs w:val="24"/>
        </w:rPr>
        <w:t>37,6%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são de lavouras tempor</w:t>
      </w:r>
      <w:r w:rsidR="00846BBF" w:rsidRPr="009215D7">
        <w:rPr>
          <w:rFonts w:ascii="Times New Roman" w:hAnsi="Times New Roman" w:cs="Times New Roman"/>
          <w:sz w:val="24"/>
          <w:szCs w:val="24"/>
        </w:rPr>
        <w:t>árias, como milho (11,6%), fumo (8,0%), feijão (5,6%), arroz (4,4%) entre outros; 20,8%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são de lavouras perm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anentes como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(9,1%), maracujá (3,8%), </w:t>
      </w:r>
      <w:r w:rsidR="00491391" w:rsidRPr="009215D7">
        <w:rPr>
          <w:rFonts w:ascii="Times New Roman" w:hAnsi="Times New Roman" w:cs="Times New Roman"/>
          <w:sz w:val="24"/>
          <w:szCs w:val="24"/>
        </w:rPr>
        <w:t>banana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(6,2%) entre outros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. As matas naturais ou plantadas abrangem </w:t>
      </w:r>
      <w:r w:rsidR="00846BBF" w:rsidRPr="009215D7">
        <w:rPr>
          <w:rFonts w:ascii="Times New Roman" w:hAnsi="Times New Roman" w:cs="Times New Roman"/>
          <w:sz w:val="24"/>
          <w:szCs w:val="24"/>
        </w:rPr>
        <w:t>15,2%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da área total; enquanto </w:t>
      </w:r>
      <w:r w:rsidR="00846BBF" w:rsidRPr="009215D7">
        <w:rPr>
          <w:rFonts w:ascii="Times New Roman" w:hAnsi="Times New Roman" w:cs="Times New Roman"/>
          <w:sz w:val="24"/>
          <w:szCs w:val="24"/>
        </w:rPr>
        <w:t>14,1%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são de pastagens; e ainda, </w:t>
      </w:r>
      <w:r w:rsidR="00846BBF" w:rsidRPr="009215D7">
        <w:rPr>
          <w:rFonts w:ascii="Times New Roman" w:hAnsi="Times New Roman" w:cs="Times New Roman"/>
          <w:sz w:val="24"/>
          <w:szCs w:val="24"/>
        </w:rPr>
        <w:t>12,2%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são outros usos.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8B346" w14:textId="4BCF2DB6" w:rsidR="00846BBF" w:rsidRDefault="00491391" w:rsidP="00846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 xml:space="preserve">A área total de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Pr="00376CE0">
        <w:rPr>
          <w:rFonts w:ascii="Times New Roman" w:hAnsi="Times New Roman" w:cs="Times New Roman"/>
          <w:sz w:val="24"/>
          <w:szCs w:val="24"/>
        </w:rPr>
        <w:t xml:space="preserve"> da amostra</w:t>
      </w:r>
      <w:r w:rsidRPr="009215D7">
        <w:rPr>
          <w:rFonts w:ascii="Times New Roman" w:hAnsi="Times New Roman" w:cs="Times New Roman"/>
          <w:sz w:val="24"/>
          <w:szCs w:val="24"/>
        </w:rPr>
        <w:t xml:space="preserve"> foi de 103,52 h</w:t>
      </w:r>
      <w:r w:rsidR="001D5D6E" w:rsidRPr="009215D7">
        <w:rPr>
          <w:rFonts w:ascii="Times New Roman" w:hAnsi="Times New Roman" w:cs="Times New Roman"/>
          <w:sz w:val="24"/>
          <w:szCs w:val="24"/>
        </w:rPr>
        <w:t>ectares</w:t>
      </w:r>
      <w:r w:rsidRPr="009215D7">
        <w:rPr>
          <w:rFonts w:ascii="Times New Roman" w:hAnsi="Times New Roman" w:cs="Times New Roman"/>
          <w:sz w:val="24"/>
          <w:szCs w:val="24"/>
        </w:rPr>
        <w:t>, que representa 9,1% da área total dos estabelecimentos agropecuários pesquisados e 43,6% da área de lavouras permanentes.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A cultura tem se apresentado como uma opção para o plantio em pequenas áreas.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Na distribuição dos estabelecimentos em estratos de </w:t>
      </w:r>
      <w:r w:rsidR="00846BBF" w:rsidRPr="009215D7">
        <w:rPr>
          <w:rFonts w:ascii="Times New Roman" w:hAnsi="Times New Roman" w:cs="Times New Roman"/>
          <w:sz w:val="24"/>
          <w:szCs w:val="24"/>
        </w:rPr>
        <w:t>área de pita</w:t>
      </w:r>
      <w:r w:rsidR="003F1BEF" w:rsidRPr="009215D7">
        <w:rPr>
          <w:rFonts w:ascii="Times New Roman" w:hAnsi="Times New Roman" w:cs="Times New Roman"/>
          <w:sz w:val="24"/>
          <w:szCs w:val="24"/>
        </w:rPr>
        <w:t>y</w:t>
      </w:r>
      <w:r w:rsidR="00846BBF" w:rsidRPr="009215D7">
        <w:rPr>
          <w:rFonts w:ascii="Times New Roman" w:hAnsi="Times New Roman" w:cs="Times New Roman"/>
          <w:sz w:val="24"/>
          <w:szCs w:val="24"/>
        </w:rPr>
        <w:t>a</w:t>
      </w:r>
      <w:r w:rsidR="00CB396A">
        <w:rPr>
          <w:rFonts w:ascii="Times New Roman" w:hAnsi="Times New Roman" w:cs="Times New Roman"/>
          <w:sz w:val="24"/>
          <w:szCs w:val="24"/>
        </w:rPr>
        <w:t>: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>
        <w:rPr>
          <w:rFonts w:ascii="Times New Roman" w:hAnsi="Times New Roman" w:cs="Times New Roman"/>
          <w:sz w:val="24"/>
          <w:szCs w:val="24"/>
        </w:rPr>
        <w:t>n</w:t>
      </w:r>
      <w:r w:rsidR="003F1BEF" w:rsidRPr="009215D7">
        <w:rPr>
          <w:rFonts w:ascii="Times New Roman" w:hAnsi="Times New Roman" w:cs="Times New Roman"/>
          <w:sz w:val="24"/>
          <w:szCs w:val="24"/>
        </w:rPr>
        <w:t>o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9215D7" w:rsidRPr="009215D7">
        <w:rPr>
          <w:rFonts w:ascii="Times New Roman" w:hAnsi="Times New Roman" w:cs="Times New Roman"/>
          <w:b/>
          <w:sz w:val="24"/>
          <w:szCs w:val="24"/>
        </w:rPr>
        <w:t>estrato 1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sz w:val="24"/>
          <w:szCs w:val="24"/>
        </w:rPr>
        <w:t>a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área média </w:t>
      </w:r>
      <w:r w:rsidR="003F1BEF" w:rsidRPr="009215D7">
        <w:rPr>
          <w:rFonts w:ascii="Times New Roman" w:hAnsi="Times New Roman" w:cs="Times New Roman"/>
          <w:sz w:val="24"/>
          <w:szCs w:val="24"/>
        </w:rPr>
        <w:t>é de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0,3 </w:t>
      </w:r>
      <w:proofErr w:type="spellStart"/>
      <w:r w:rsidR="003F1BEF" w:rsidRPr="009215D7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3F1BEF" w:rsidRPr="009215D7">
        <w:rPr>
          <w:rFonts w:ascii="Times New Roman" w:hAnsi="Times New Roman" w:cs="Times New Roman"/>
          <w:sz w:val="24"/>
          <w:szCs w:val="24"/>
        </w:rPr>
        <w:t xml:space="preserve">; no </w:t>
      </w:r>
      <w:r w:rsidR="009215D7" w:rsidRPr="009215D7">
        <w:rPr>
          <w:rFonts w:ascii="Times New Roman" w:hAnsi="Times New Roman" w:cs="Times New Roman"/>
          <w:b/>
          <w:sz w:val="24"/>
          <w:szCs w:val="24"/>
        </w:rPr>
        <w:t>estrato 2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sz w:val="24"/>
          <w:szCs w:val="24"/>
        </w:rPr>
        <w:t>a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área média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é 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de 0,6 </w:t>
      </w:r>
      <w:proofErr w:type="spellStart"/>
      <w:r w:rsidR="003F1BEF" w:rsidRPr="009215D7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3F1BEF" w:rsidRPr="009215D7">
        <w:rPr>
          <w:rFonts w:ascii="Times New Roman" w:hAnsi="Times New Roman" w:cs="Times New Roman"/>
          <w:sz w:val="24"/>
          <w:szCs w:val="24"/>
        </w:rPr>
        <w:t>; no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846BBF"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3</w:t>
      </w:r>
      <w:r w:rsidR="007822D7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sz w:val="24"/>
          <w:szCs w:val="24"/>
        </w:rPr>
        <w:t>a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área média de 1 </w:t>
      </w:r>
      <w:proofErr w:type="spellStart"/>
      <w:r w:rsidR="003F1BEF" w:rsidRPr="009215D7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3F1BEF" w:rsidRPr="009215D7">
        <w:rPr>
          <w:rFonts w:ascii="Times New Roman" w:hAnsi="Times New Roman" w:cs="Times New Roman"/>
          <w:sz w:val="24"/>
          <w:szCs w:val="24"/>
        </w:rPr>
        <w:t xml:space="preserve">; no </w:t>
      </w:r>
      <w:r w:rsidR="009215D7"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4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sz w:val="24"/>
          <w:szCs w:val="24"/>
        </w:rPr>
        <w:t>a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área média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é 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de 1,6 </w:t>
      </w:r>
      <w:proofErr w:type="spellStart"/>
      <w:r w:rsidR="003F1BEF" w:rsidRPr="009215D7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3F1BEF" w:rsidRPr="009215D7">
        <w:rPr>
          <w:rFonts w:ascii="Times New Roman" w:hAnsi="Times New Roman" w:cs="Times New Roman"/>
          <w:sz w:val="24"/>
          <w:szCs w:val="24"/>
        </w:rPr>
        <w:t xml:space="preserve">; no </w:t>
      </w:r>
      <w:r w:rsidR="009215D7"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5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a </w:t>
      </w:r>
      <w:r w:rsidR="007822D7" w:rsidRPr="009215D7">
        <w:rPr>
          <w:rFonts w:ascii="Times New Roman" w:hAnsi="Times New Roman" w:cs="Times New Roman"/>
          <w:sz w:val="24"/>
          <w:szCs w:val="24"/>
        </w:rPr>
        <w:t xml:space="preserve">área média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é </w:t>
      </w:r>
      <w:r w:rsidR="007822D7" w:rsidRPr="009215D7">
        <w:rPr>
          <w:rFonts w:ascii="Times New Roman" w:hAnsi="Times New Roman" w:cs="Times New Roman"/>
          <w:sz w:val="24"/>
          <w:szCs w:val="24"/>
        </w:rPr>
        <w:t xml:space="preserve">de 2,1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ha; e no </w:t>
      </w:r>
      <w:r w:rsidR="009215D7"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6</w:t>
      </w:r>
      <w:r w:rsidR="00846BB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sz w:val="24"/>
          <w:szCs w:val="24"/>
        </w:rPr>
        <w:t>a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área média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é 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de 4,8 </w:t>
      </w:r>
      <w:r w:rsidR="00BE0114" w:rsidRPr="009215D7">
        <w:rPr>
          <w:rFonts w:ascii="Times New Roman" w:hAnsi="Times New Roman" w:cs="Times New Roman"/>
          <w:sz w:val="24"/>
          <w:szCs w:val="24"/>
        </w:rPr>
        <w:t>ha. O estrato 2 concentra mais produtores e a segunda maior área em produção na comparação com os outros. O estrato 1 é o segundo em número de produtores, mas com áreas pequenas. O estrato 5 apresenta a maior concentração de área com média acima de 2 ha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(Figura 2).</w:t>
      </w:r>
    </w:p>
    <w:p w14:paraId="46047D1E" w14:textId="77777777" w:rsidR="002B428D" w:rsidRDefault="002B428D" w:rsidP="00846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EC12" w14:textId="5DFC8A5C" w:rsidR="007822D7" w:rsidRPr="009215D7" w:rsidRDefault="001D5D6E" w:rsidP="00846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18A9609" wp14:editId="61F362F2">
            <wp:extent cx="5338445" cy="183063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60" cy="18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B577B" w14:textId="27CD5606" w:rsidR="007822D7" w:rsidRPr="009215D7" w:rsidRDefault="007822D7" w:rsidP="007822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215D7">
        <w:rPr>
          <w:rFonts w:ascii="Times New Roman" w:hAnsi="Times New Roman" w:cs="Times New Roman"/>
          <w:sz w:val="20"/>
          <w:szCs w:val="24"/>
        </w:rPr>
        <w:t>Figura 2 – Estratos de área de pitaya: percentual de número de produtores e de área.</w:t>
      </w:r>
    </w:p>
    <w:p w14:paraId="1237FE6D" w14:textId="77777777" w:rsidR="007822D7" w:rsidRPr="009215D7" w:rsidRDefault="007822D7" w:rsidP="007822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215D7">
        <w:rPr>
          <w:rFonts w:ascii="Times New Roman" w:hAnsi="Times New Roman" w:cs="Times New Roman"/>
          <w:sz w:val="20"/>
          <w:szCs w:val="24"/>
        </w:rPr>
        <w:t>Fonte: autores.</w:t>
      </w:r>
    </w:p>
    <w:p w14:paraId="7891821C" w14:textId="77777777" w:rsidR="00FD725D" w:rsidRPr="009215D7" w:rsidRDefault="00FD725D" w:rsidP="007822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563E6FB" w14:textId="45A4C1A9" w:rsidR="009215D7" w:rsidRPr="00376CE0" w:rsidRDefault="00846BBF" w:rsidP="00846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lastRenderedPageBreak/>
        <w:t xml:space="preserve">Em relação à condição de posse da terra onde é cultivada a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Pr="00376CE0">
        <w:rPr>
          <w:rFonts w:ascii="Times New Roman" w:hAnsi="Times New Roman" w:cs="Times New Roman"/>
          <w:sz w:val="24"/>
          <w:szCs w:val="24"/>
        </w:rPr>
        <w:t xml:space="preserve">, verifica-se que a cerca de 86% </w:t>
      </w:r>
      <w:r w:rsidR="007A4743" w:rsidRPr="00376CE0">
        <w:rPr>
          <w:rFonts w:ascii="Times New Roman" w:hAnsi="Times New Roman" w:cs="Times New Roman"/>
          <w:sz w:val="24"/>
          <w:szCs w:val="24"/>
        </w:rPr>
        <w:t>são</w:t>
      </w:r>
      <w:r w:rsidRPr="00376CE0">
        <w:rPr>
          <w:rFonts w:ascii="Times New Roman" w:hAnsi="Times New Roman" w:cs="Times New Roman"/>
          <w:sz w:val="24"/>
          <w:szCs w:val="24"/>
        </w:rPr>
        <w:t xml:space="preserve"> </w:t>
      </w:r>
      <w:r w:rsidR="007A4743" w:rsidRPr="00376CE0">
        <w:rPr>
          <w:rFonts w:ascii="Times New Roman" w:hAnsi="Times New Roman" w:cs="Times New Roman"/>
          <w:sz w:val="24"/>
          <w:szCs w:val="24"/>
        </w:rPr>
        <w:t>em</w:t>
      </w:r>
      <w:r w:rsidRPr="00376CE0">
        <w:rPr>
          <w:rFonts w:ascii="Times New Roman" w:hAnsi="Times New Roman" w:cs="Times New Roman"/>
          <w:sz w:val="24"/>
          <w:szCs w:val="24"/>
        </w:rPr>
        <w:t xml:space="preserve"> terras próprias e 14% em áreas arrendadas. </w:t>
      </w:r>
    </w:p>
    <w:p w14:paraId="55E17305" w14:textId="568C53E3" w:rsidR="00491391" w:rsidRPr="009215D7" w:rsidRDefault="00846BBF" w:rsidP="00846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>Quanto à idade dos pomares</w:t>
      </w:r>
      <w:r w:rsidRPr="009215D7">
        <w:rPr>
          <w:rFonts w:ascii="Times New Roman" w:hAnsi="Times New Roman" w:cs="Times New Roman"/>
          <w:sz w:val="24"/>
          <w:szCs w:val="24"/>
        </w:rPr>
        <w:t xml:space="preserve">, verifica-se que cerca de 63% são de pomares adultos (a partir do 3º ciclo de produção) e 37% de pomares jovens (1º e 2º ciclo de produção), o que pode indicar </w:t>
      </w:r>
      <w:r w:rsidR="007A4743" w:rsidRPr="009215D7">
        <w:rPr>
          <w:rFonts w:ascii="Times New Roman" w:hAnsi="Times New Roman" w:cs="Times New Roman"/>
          <w:sz w:val="24"/>
          <w:szCs w:val="24"/>
        </w:rPr>
        <w:t xml:space="preserve">a </w:t>
      </w:r>
      <w:r w:rsidRPr="009215D7">
        <w:rPr>
          <w:rFonts w:ascii="Times New Roman" w:hAnsi="Times New Roman" w:cs="Times New Roman"/>
          <w:sz w:val="24"/>
          <w:szCs w:val="24"/>
        </w:rPr>
        <w:t xml:space="preserve">expansão da produção </w:t>
      </w:r>
      <w:r w:rsidR="007A4743" w:rsidRPr="009215D7">
        <w:rPr>
          <w:rFonts w:ascii="Times New Roman" w:hAnsi="Times New Roman" w:cs="Times New Roman"/>
          <w:sz w:val="24"/>
          <w:szCs w:val="24"/>
        </w:rPr>
        <w:t xml:space="preserve">atual </w:t>
      </w:r>
      <w:r w:rsidRPr="009215D7">
        <w:rPr>
          <w:rFonts w:ascii="Times New Roman" w:hAnsi="Times New Roman" w:cs="Times New Roman"/>
          <w:sz w:val="24"/>
          <w:szCs w:val="24"/>
        </w:rPr>
        <w:t>na região.</w:t>
      </w:r>
      <w:r w:rsidR="009215D7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Pr="009215D7">
        <w:rPr>
          <w:rFonts w:ascii="Times New Roman" w:hAnsi="Times New Roman" w:cs="Times New Roman"/>
          <w:sz w:val="24"/>
          <w:szCs w:val="24"/>
        </w:rPr>
        <w:t xml:space="preserve">Conforme </w:t>
      </w:r>
      <w:r w:rsidR="008B589C">
        <w:rPr>
          <w:rFonts w:ascii="Times New Roman" w:hAnsi="Times New Roman" w:cs="Times New Roman"/>
          <w:sz w:val="24"/>
          <w:szCs w:val="24"/>
        </w:rPr>
        <w:t>a</w:t>
      </w:r>
      <w:r w:rsidRPr="009215D7">
        <w:rPr>
          <w:rFonts w:ascii="Times New Roman" w:hAnsi="Times New Roman" w:cs="Times New Roman"/>
          <w:sz w:val="24"/>
          <w:szCs w:val="24"/>
        </w:rPr>
        <w:t xml:space="preserve"> área </w:t>
      </w:r>
      <w:r w:rsidR="007A4743" w:rsidRPr="009215D7">
        <w:rPr>
          <w:rFonts w:ascii="Times New Roman" w:hAnsi="Times New Roman" w:cs="Times New Roman"/>
          <w:sz w:val="24"/>
          <w:szCs w:val="24"/>
        </w:rPr>
        <w:t xml:space="preserve">na amostra, </w:t>
      </w:r>
      <w:r w:rsidRPr="009215D7">
        <w:rPr>
          <w:rFonts w:ascii="Times New Roman" w:hAnsi="Times New Roman" w:cs="Times New Roman"/>
          <w:sz w:val="24"/>
          <w:szCs w:val="24"/>
        </w:rPr>
        <w:t xml:space="preserve">a </w:t>
      </w:r>
      <w:r w:rsidR="00C759F7">
        <w:rPr>
          <w:rFonts w:ascii="Times New Roman" w:hAnsi="Times New Roman" w:cs="Times New Roman"/>
          <w:sz w:val="24"/>
          <w:szCs w:val="24"/>
        </w:rPr>
        <w:t>participação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 w:rsidRPr="009215D7">
        <w:rPr>
          <w:rFonts w:ascii="Times New Roman" w:hAnsi="Times New Roman" w:cs="Times New Roman"/>
          <w:sz w:val="24"/>
          <w:szCs w:val="24"/>
        </w:rPr>
        <w:t>de pomares jovens</w:t>
      </w:r>
      <w:r w:rsidR="00C759F7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 w:rsidRPr="009215D7">
        <w:rPr>
          <w:rFonts w:ascii="Times New Roman" w:hAnsi="Times New Roman" w:cs="Times New Roman"/>
          <w:sz w:val="24"/>
          <w:szCs w:val="24"/>
        </w:rPr>
        <w:t>nos primeiros ciclos</w:t>
      </w:r>
      <w:r w:rsidR="00C759F7">
        <w:rPr>
          <w:rFonts w:ascii="Times New Roman" w:hAnsi="Times New Roman" w:cs="Times New Roman"/>
          <w:sz w:val="24"/>
          <w:szCs w:val="24"/>
        </w:rPr>
        <w:t xml:space="preserve"> por estratos é a seguinte:</w:t>
      </w:r>
      <w:r w:rsidR="00C759F7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Pr="009215D7">
        <w:rPr>
          <w:rFonts w:ascii="Times New Roman" w:hAnsi="Times New Roman" w:cs="Times New Roman"/>
          <w:b/>
          <w:sz w:val="24"/>
          <w:szCs w:val="24"/>
        </w:rPr>
        <w:t>estrato</w:t>
      </w:r>
      <w:r w:rsidR="007822D7" w:rsidRPr="0092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759F7">
        <w:rPr>
          <w:rFonts w:ascii="Times New Roman" w:hAnsi="Times New Roman" w:cs="Times New Roman"/>
          <w:sz w:val="24"/>
          <w:szCs w:val="24"/>
        </w:rPr>
        <w:t>com</w:t>
      </w:r>
      <w:r w:rsidRPr="009215D7">
        <w:rPr>
          <w:rFonts w:ascii="Times New Roman" w:hAnsi="Times New Roman" w:cs="Times New Roman"/>
          <w:sz w:val="24"/>
          <w:szCs w:val="24"/>
        </w:rPr>
        <w:t xml:space="preserve"> cerca de 23%</w:t>
      </w:r>
      <w:r w:rsidR="009215D7" w:rsidRPr="009215D7">
        <w:rPr>
          <w:rFonts w:ascii="Times New Roman" w:hAnsi="Times New Roman" w:cs="Times New Roman"/>
          <w:sz w:val="24"/>
          <w:szCs w:val="24"/>
        </w:rPr>
        <w:t>;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b/>
          <w:sz w:val="24"/>
          <w:szCs w:val="24"/>
        </w:rPr>
        <w:t>estrato 2</w:t>
      </w:r>
      <w:r w:rsidR="001D5D6E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>
        <w:rPr>
          <w:rFonts w:ascii="Times New Roman" w:hAnsi="Times New Roman" w:cs="Times New Roman"/>
          <w:sz w:val="24"/>
          <w:szCs w:val="24"/>
        </w:rPr>
        <w:t>com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Pr="009215D7">
        <w:rPr>
          <w:rFonts w:ascii="Times New Roman" w:hAnsi="Times New Roman" w:cs="Times New Roman"/>
          <w:sz w:val="24"/>
          <w:szCs w:val="24"/>
        </w:rPr>
        <w:t>35,1%</w:t>
      </w:r>
      <w:r w:rsidR="009215D7" w:rsidRPr="009215D7">
        <w:rPr>
          <w:rFonts w:ascii="Times New Roman" w:hAnsi="Times New Roman" w:cs="Times New Roman"/>
          <w:sz w:val="24"/>
          <w:szCs w:val="24"/>
        </w:rPr>
        <w:t>;</w:t>
      </w:r>
      <w:r w:rsidR="00C759F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3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>
        <w:rPr>
          <w:rFonts w:ascii="Times New Roman" w:hAnsi="Times New Roman" w:cs="Times New Roman"/>
          <w:sz w:val="24"/>
          <w:szCs w:val="24"/>
        </w:rPr>
        <w:t xml:space="preserve">com </w:t>
      </w:r>
      <w:r w:rsidRPr="009215D7">
        <w:rPr>
          <w:rFonts w:ascii="Times New Roman" w:hAnsi="Times New Roman" w:cs="Times New Roman"/>
          <w:sz w:val="24"/>
          <w:szCs w:val="24"/>
        </w:rPr>
        <w:t>25,6 %</w:t>
      </w:r>
      <w:r w:rsidR="009215D7" w:rsidRPr="009215D7">
        <w:rPr>
          <w:rFonts w:ascii="Times New Roman" w:hAnsi="Times New Roman" w:cs="Times New Roman"/>
          <w:sz w:val="24"/>
          <w:szCs w:val="24"/>
        </w:rPr>
        <w:t>;</w:t>
      </w:r>
      <w:r w:rsidR="00C759F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4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>
        <w:rPr>
          <w:rFonts w:ascii="Times New Roman" w:hAnsi="Times New Roman" w:cs="Times New Roman"/>
          <w:sz w:val="24"/>
          <w:szCs w:val="24"/>
        </w:rPr>
        <w:t>com</w:t>
      </w:r>
      <w:r w:rsidRPr="009215D7">
        <w:rPr>
          <w:rFonts w:ascii="Times New Roman" w:hAnsi="Times New Roman" w:cs="Times New Roman"/>
          <w:sz w:val="24"/>
          <w:szCs w:val="24"/>
        </w:rPr>
        <w:t xml:space="preserve"> 38,6%</w:t>
      </w:r>
      <w:r w:rsidR="009215D7" w:rsidRPr="009215D7">
        <w:rPr>
          <w:rFonts w:ascii="Times New Roman" w:hAnsi="Times New Roman" w:cs="Times New Roman"/>
          <w:sz w:val="24"/>
          <w:szCs w:val="24"/>
        </w:rPr>
        <w:t>;</w:t>
      </w:r>
      <w:r w:rsidR="00C759F7">
        <w:rPr>
          <w:rFonts w:ascii="Times New Roman" w:hAnsi="Times New Roman" w:cs="Times New Roman"/>
          <w:sz w:val="24"/>
          <w:szCs w:val="24"/>
        </w:rPr>
        <w:t xml:space="preserve"> </w:t>
      </w:r>
      <w:r w:rsidR="003F1BEF"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5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>
        <w:rPr>
          <w:rFonts w:ascii="Times New Roman" w:hAnsi="Times New Roman" w:cs="Times New Roman"/>
          <w:sz w:val="24"/>
          <w:szCs w:val="24"/>
        </w:rPr>
        <w:t>com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 37,4%</w:t>
      </w:r>
      <w:r w:rsidR="009215D7" w:rsidRPr="009215D7">
        <w:rPr>
          <w:rFonts w:ascii="Times New Roman" w:hAnsi="Times New Roman" w:cs="Times New Roman"/>
          <w:sz w:val="24"/>
          <w:szCs w:val="24"/>
        </w:rPr>
        <w:t xml:space="preserve">; 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e o </w:t>
      </w:r>
      <w:r w:rsidRPr="009215D7">
        <w:rPr>
          <w:rFonts w:ascii="Times New Roman" w:hAnsi="Times New Roman" w:cs="Times New Roman"/>
          <w:b/>
          <w:sz w:val="24"/>
          <w:szCs w:val="24"/>
        </w:rPr>
        <w:t xml:space="preserve">estrato </w:t>
      </w:r>
      <w:r w:rsidR="001D5D6E" w:rsidRPr="009215D7">
        <w:rPr>
          <w:rFonts w:ascii="Times New Roman" w:hAnsi="Times New Roman" w:cs="Times New Roman"/>
          <w:b/>
          <w:sz w:val="24"/>
          <w:szCs w:val="24"/>
        </w:rPr>
        <w:t>6</w:t>
      </w:r>
      <w:r w:rsidR="007822D7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C759F7">
        <w:rPr>
          <w:rFonts w:ascii="Times New Roman" w:hAnsi="Times New Roman" w:cs="Times New Roman"/>
          <w:sz w:val="24"/>
          <w:szCs w:val="24"/>
        </w:rPr>
        <w:t>com</w:t>
      </w:r>
      <w:r w:rsidRPr="009215D7">
        <w:rPr>
          <w:rFonts w:ascii="Times New Roman" w:hAnsi="Times New Roman" w:cs="Times New Roman"/>
          <w:sz w:val="24"/>
          <w:szCs w:val="24"/>
        </w:rPr>
        <w:t xml:space="preserve"> 54,4%.</w:t>
      </w:r>
    </w:p>
    <w:p w14:paraId="760E2450" w14:textId="607B1185" w:rsidR="001D5D6E" w:rsidRPr="00376CE0" w:rsidRDefault="001D5D6E" w:rsidP="001D5D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 xml:space="preserve">A </w:t>
      </w:r>
      <w:r w:rsidRPr="00376CE0">
        <w:rPr>
          <w:rFonts w:ascii="Times New Roman" w:hAnsi="Times New Roman" w:cs="Times New Roman"/>
          <w:sz w:val="24"/>
          <w:szCs w:val="24"/>
        </w:rPr>
        <w:t>composição da renda dos produtores da amostra aponta que produtos da lavoura permanente e temporária são responsáveis por 73,8% da renda, demonstrando ser esta a principal atividade produtiva.</w:t>
      </w:r>
      <w:r w:rsidR="00163AA6" w:rsidRPr="00376CE0">
        <w:rPr>
          <w:rFonts w:ascii="Times New Roman" w:hAnsi="Times New Roman" w:cs="Times New Roman"/>
          <w:sz w:val="24"/>
          <w:szCs w:val="24"/>
        </w:rPr>
        <w:t xml:space="preserve"> </w:t>
      </w:r>
      <w:r w:rsidRPr="00376CE0">
        <w:rPr>
          <w:rFonts w:ascii="Times New Roman" w:hAnsi="Times New Roman" w:cs="Times New Roman"/>
          <w:sz w:val="24"/>
          <w:szCs w:val="24"/>
        </w:rPr>
        <w:t>A lavoura permanente representa 41,7% da renda obtida pelos produtores. Ao desagregar a cultura da pitaya de outras</w:t>
      </w:r>
      <w:bookmarkStart w:id="0" w:name="_GoBack"/>
      <w:bookmarkEnd w:id="0"/>
      <w:r w:rsidRPr="00376CE0">
        <w:rPr>
          <w:rFonts w:ascii="Times New Roman" w:hAnsi="Times New Roman" w:cs="Times New Roman"/>
          <w:sz w:val="24"/>
          <w:szCs w:val="24"/>
        </w:rPr>
        <w:t xml:space="preserve">, verifica-se que 28,8% da renda total é proveniente da pitaya. </w:t>
      </w:r>
      <w:r w:rsidR="00163AA6" w:rsidRPr="00376CE0">
        <w:rPr>
          <w:rFonts w:ascii="Times New Roman" w:hAnsi="Times New Roman" w:cs="Times New Roman"/>
          <w:sz w:val="24"/>
          <w:szCs w:val="24"/>
        </w:rPr>
        <w:t>Ao estratificar</w:t>
      </w:r>
      <w:r w:rsidRPr="00376CE0">
        <w:rPr>
          <w:rFonts w:ascii="Times New Roman" w:hAnsi="Times New Roman" w:cs="Times New Roman"/>
          <w:sz w:val="24"/>
          <w:szCs w:val="24"/>
        </w:rPr>
        <w:t xml:space="preserve"> a renda proveniente da cultura da pitaya, observa-se que para 48% destes produtores a renda da comercialização da fruta representa mais de 30% e para 17,8% representa mais de 50% do total de renda familiar.</w:t>
      </w:r>
    </w:p>
    <w:p w14:paraId="42D1C5AA" w14:textId="727D9156" w:rsidR="007A4743" w:rsidRPr="00376CE0" w:rsidRDefault="007A4743" w:rsidP="007A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 xml:space="preserve">Em relação a quantidade produzida de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Pr="00376CE0">
        <w:rPr>
          <w:rFonts w:ascii="Times New Roman" w:hAnsi="Times New Roman" w:cs="Times New Roman"/>
          <w:sz w:val="24"/>
          <w:szCs w:val="24"/>
        </w:rPr>
        <w:t xml:space="preserve"> na amostra, de 1.276 toneladas, essa corresponde a 31% da produção estadual da fruta. Desta, 5,7% são frutas provenientes de área de pomares jovens e 94,3% de pomares adultos. A produtividade de pomares adultos ficou acima da média com 18.467,8 kg/ha.  </w:t>
      </w:r>
    </w:p>
    <w:p w14:paraId="51FF1EBD" w14:textId="122BDF21" w:rsidR="00491391" w:rsidRPr="009215D7" w:rsidRDefault="001D5D6E" w:rsidP="0049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>Na safra 2021/22, q</w:t>
      </w:r>
      <w:r w:rsidR="00491391" w:rsidRPr="00376CE0">
        <w:rPr>
          <w:rFonts w:ascii="Times New Roman" w:hAnsi="Times New Roman" w:cs="Times New Roman"/>
          <w:sz w:val="24"/>
          <w:szCs w:val="24"/>
        </w:rPr>
        <w:t xml:space="preserve">uanto </w:t>
      </w:r>
      <w:r w:rsidR="00376CE0">
        <w:rPr>
          <w:rFonts w:ascii="Times New Roman" w:hAnsi="Times New Roman" w:cs="Times New Roman"/>
          <w:sz w:val="24"/>
          <w:szCs w:val="24"/>
        </w:rPr>
        <w:t>aos canais de</w:t>
      </w:r>
      <w:r w:rsidR="00491391" w:rsidRPr="00376CE0">
        <w:rPr>
          <w:rFonts w:ascii="Times New Roman" w:hAnsi="Times New Roman" w:cs="Times New Roman"/>
          <w:sz w:val="24"/>
          <w:szCs w:val="24"/>
        </w:rPr>
        <w:t xml:space="preserve"> distribuição </w:t>
      </w:r>
      <w:r w:rsidR="00376CE0">
        <w:rPr>
          <w:rFonts w:ascii="Times New Roman" w:hAnsi="Times New Roman" w:cs="Times New Roman"/>
          <w:sz w:val="24"/>
          <w:szCs w:val="24"/>
        </w:rPr>
        <w:t>do volume</w:t>
      </w:r>
      <w:r w:rsidR="00491391" w:rsidRPr="00376CE0">
        <w:rPr>
          <w:rFonts w:ascii="Times New Roman" w:hAnsi="Times New Roman" w:cs="Times New Roman"/>
          <w:sz w:val="24"/>
          <w:szCs w:val="24"/>
        </w:rPr>
        <w:t xml:space="preserve"> comercializad</w:t>
      </w:r>
      <w:r w:rsidR="00376CE0">
        <w:rPr>
          <w:rFonts w:ascii="Times New Roman" w:hAnsi="Times New Roman" w:cs="Times New Roman"/>
          <w:sz w:val="24"/>
          <w:szCs w:val="24"/>
        </w:rPr>
        <w:t>o</w:t>
      </w:r>
      <w:r w:rsidR="00491391" w:rsidRPr="00376CE0">
        <w:rPr>
          <w:rFonts w:ascii="Times New Roman" w:hAnsi="Times New Roman" w:cs="Times New Roman"/>
          <w:sz w:val="24"/>
          <w:szCs w:val="24"/>
        </w:rPr>
        <w:t>, verificou-se que 44,5% são vendidos para intermediários, 26,5% para cooperativa, 15,9% no Ceasa</w:t>
      </w:r>
      <w:r w:rsidRPr="00376CE0">
        <w:rPr>
          <w:rFonts w:ascii="Times New Roman" w:hAnsi="Times New Roman" w:cs="Times New Roman"/>
          <w:sz w:val="24"/>
          <w:szCs w:val="24"/>
        </w:rPr>
        <w:t>-SC</w:t>
      </w:r>
      <w:r w:rsidR="00491391" w:rsidRPr="00376CE0">
        <w:rPr>
          <w:rFonts w:ascii="Times New Roman" w:hAnsi="Times New Roman" w:cs="Times New Roman"/>
          <w:sz w:val="24"/>
          <w:szCs w:val="24"/>
        </w:rPr>
        <w:t>,</w:t>
      </w:r>
      <w:r w:rsidRPr="00376CE0">
        <w:rPr>
          <w:rFonts w:ascii="Times New Roman" w:hAnsi="Times New Roman" w:cs="Times New Roman"/>
          <w:sz w:val="24"/>
          <w:szCs w:val="24"/>
        </w:rPr>
        <w:t xml:space="preserve"> </w:t>
      </w:r>
      <w:r w:rsidR="00491391" w:rsidRPr="00376CE0">
        <w:rPr>
          <w:rFonts w:ascii="Times New Roman" w:hAnsi="Times New Roman" w:cs="Times New Roman"/>
          <w:sz w:val="24"/>
          <w:szCs w:val="24"/>
        </w:rPr>
        <w:t>3,6% para supermercados, 3,3% Ceagesp e o restante para pequenos mercados, direto ao consumidor e outros</w:t>
      </w:r>
      <w:r w:rsidRPr="00376CE0">
        <w:rPr>
          <w:rFonts w:ascii="Times New Roman" w:hAnsi="Times New Roman" w:cs="Times New Roman"/>
          <w:sz w:val="24"/>
          <w:szCs w:val="24"/>
        </w:rPr>
        <w:t>.</w:t>
      </w:r>
      <w:r w:rsidR="003F1BEF" w:rsidRPr="00376CE0">
        <w:rPr>
          <w:rFonts w:ascii="Times New Roman" w:hAnsi="Times New Roman" w:cs="Times New Roman"/>
          <w:sz w:val="24"/>
          <w:szCs w:val="24"/>
        </w:rPr>
        <w:t xml:space="preserve"> </w:t>
      </w:r>
      <w:r w:rsidR="00491391" w:rsidRPr="00376CE0">
        <w:rPr>
          <w:rFonts w:ascii="Times New Roman" w:hAnsi="Times New Roman" w:cs="Times New Roman"/>
          <w:sz w:val="24"/>
          <w:szCs w:val="24"/>
        </w:rPr>
        <w:t>Quanto aos principais entraves encontrados</w:t>
      </w:r>
      <w:r w:rsidR="00491391" w:rsidRPr="009215D7">
        <w:rPr>
          <w:rFonts w:ascii="Times New Roman" w:hAnsi="Times New Roman" w:cs="Times New Roman"/>
          <w:sz w:val="24"/>
          <w:szCs w:val="24"/>
        </w:rPr>
        <w:t xml:space="preserve"> na cultura da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="00491391" w:rsidRPr="009215D7">
        <w:rPr>
          <w:rFonts w:ascii="Times New Roman" w:hAnsi="Times New Roman" w:cs="Times New Roman"/>
          <w:sz w:val="24"/>
          <w:szCs w:val="24"/>
        </w:rPr>
        <w:t>, 45,2% dos produtores da amostra declararam que o preço baixo da fruta é um grande problema, 44,2% deles aponta como entraves a ocorrência de pragas e doenças, 38,5% o preço dos insumos, 34,6% defensivos não registrados para a cultura, 29,8% a falta de mão de obra, 28,8% a dificuldade de vender o produto.</w:t>
      </w:r>
    </w:p>
    <w:p w14:paraId="6940FBE6" w14:textId="77777777" w:rsidR="00491391" w:rsidRPr="009215D7" w:rsidRDefault="00491391" w:rsidP="00A61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6B6BC" w14:textId="60F68D94" w:rsidR="00A61DBA" w:rsidRPr="009215D7" w:rsidRDefault="00A61DBA" w:rsidP="00A61D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>6</w:t>
      </w:r>
      <w:r w:rsidR="00F22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5D7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70B9FEFD" w14:textId="77777777" w:rsidR="00E874E3" w:rsidRPr="009215D7" w:rsidRDefault="00EF57B4" w:rsidP="003F1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 xml:space="preserve">A cultura da pitaya vem aumentando a sua participação no comércio mundial de frutas exóticas, com grande produção e aumento de importação entre os países asiáticos e europeus. No Brasil é recente </w:t>
      </w:r>
      <w:r w:rsidR="00E874E3" w:rsidRPr="009215D7">
        <w:rPr>
          <w:rFonts w:ascii="Times New Roman" w:hAnsi="Times New Roman" w:cs="Times New Roman"/>
          <w:sz w:val="24"/>
          <w:szCs w:val="24"/>
        </w:rPr>
        <w:t>o aumento na</w:t>
      </w:r>
      <w:r w:rsidRPr="009215D7">
        <w:rPr>
          <w:rFonts w:ascii="Times New Roman" w:hAnsi="Times New Roman" w:cs="Times New Roman"/>
          <w:sz w:val="24"/>
          <w:szCs w:val="24"/>
        </w:rPr>
        <w:t xml:space="preserve"> produção comercial</w:t>
      </w:r>
      <w:r w:rsidR="00E874E3" w:rsidRPr="009215D7">
        <w:rPr>
          <w:rFonts w:ascii="Times New Roman" w:hAnsi="Times New Roman" w:cs="Times New Roman"/>
          <w:sz w:val="24"/>
          <w:szCs w:val="24"/>
        </w:rPr>
        <w:t>. O estado de Santa Catarina é o segundo maior produtor nacional da fruta com expansão na produção.</w:t>
      </w:r>
    </w:p>
    <w:p w14:paraId="5A7FADC8" w14:textId="178DD53E" w:rsidR="00EF57B4" w:rsidRPr="009215D7" w:rsidRDefault="00EF57B4" w:rsidP="007225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lastRenderedPageBreak/>
        <w:t xml:space="preserve">Na comparação </w:t>
      </w:r>
      <w:r w:rsidR="00E874E3" w:rsidRPr="009215D7">
        <w:rPr>
          <w:rFonts w:ascii="Times New Roman" w:hAnsi="Times New Roman" w:cs="Times New Roman"/>
          <w:sz w:val="24"/>
          <w:szCs w:val="24"/>
        </w:rPr>
        <w:t xml:space="preserve">entre as safras 2017/18 e 2021/22 houve ampliação </w:t>
      </w:r>
      <w:r w:rsidR="003F1BEF" w:rsidRPr="009215D7">
        <w:rPr>
          <w:rFonts w:ascii="Times New Roman" w:hAnsi="Times New Roman" w:cs="Times New Roman"/>
          <w:sz w:val="24"/>
          <w:szCs w:val="24"/>
        </w:rPr>
        <w:t>na participação de fruticultores,</w:t>
      </w:r>
      <w:r w:rsidR="00E874E3" w:rsidRPr="009215D7">
        <w:rPr>
          <w:rFonts w:ascii="Times New Roman" w:hAnsi="Times New Roman" w:cs="Times New Roman"/>
          <w:sz w:val="24"/>
          <w:szCs w:val="24"/>
        </w:rPr>
        <w:t xml:space="preserve"> área plantada da cultura estadual</w:t>
      </w:r>
      <w:r w:rsidR="00FD725D" w:rsidRPr="009215D7">
        <w:rPr>
          <w:rFonts w:ascii="Times New Roman" w:hAnsi="Times New Roman" w:cs="Times New Roman"/>
          <w:sz w:val="24"/>
          <w:szCs w:val="24"/>
        </w:rPr>
        <w:t xml:space="preserve">, </w:t>
      </w:r>
      <w:r w:rsidR="00E874E3" w:rsidRPr="009215D7">
        <w:rPr>
          <w:rFonts w:ascii="Times New Roman" w:hAnsi="Times New Roman" w:cs="Times New Roman"/>
          <w:sz w:val="24"/>
          <w:szCs w:val="24"/>
        </w:rPr>
        <w:t xml:space="preserve">produção de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="00FD725D" w:rsidRPr="009215D7">
        <w:rPr>
          <w:rFonts w:ascii="Times New Roman" w:hAnsi="Times New Roman" w:cs="Times New Roman"/>
          <w:sz w:val="24"/>
          <w:szCs w:val="24"/>
        </w:rPr>
        <w:t xml:space="preserve"> e VBP</w:t>
      </w:r>
      <w:r w:rsidRPr="009215D7">
        <w:rPr>
          <w:rFonts w:ascii="Times New Roman" w:hAnsi="Times New Roman" w:cs="Times New Roman"/>
          <w:sz w:val="24"/>
          <w:szCs w:val="24"/>
        </w:rPr>
        <w:t xml:space="preserve">. </w:t>
      </w:r>
      <w:r w:rsidR="00E874E3" w:rsidRPr="009215D7">
        <w:rPr>
          <w:rFonts w:ascii="Times New Roman" w:hAnsi="Times New Roman" w:cs="Times New Roman"/>
          <w:sz w:val="24"/>
          <w:szCs w:val="24"/>
        </w:rPr>
        <w:t xml:space="preserve">A </w:t>
      </w:r>
      <w:r w:rsidRPr="009215D7">
        <w:rPr>
          <w:rFonts w:ascii="Times New Roman" w:hAnsi="Times New Roman" w:cs="Times New Roman"/>
          <w:sz w:val="24"/>
          <w:szCs w:val="24"/>
        </w:rPr>
        <w:t>área total de pita</w:t>
      </w:r>
      <w:r w:rsidR="00C14F44">
        <w:rPr>
          <w:rFonts w:ascii="Times New Roman" w:hAnsi="Times New Roman" w:cs="Times New Roman"/>
          <w:sz w:val="24"/>
          <w:szCs w:val="24"/>
        </w:rPr>
        <w:t>y</w:t>
      </w:r>
      <w:r w:rsidRPr="009215D7">
        <w:rPr>
          <w:rFonts w:ascii="Times New Roman" w:hAnsi="Times New Roman" w:cs="Times New Roman"/>
          <w:sz w:val="24"/>
          <w:szCs w:val="24"/>
        </w:rPr>
        <w:t xml:space="preserve">a da amostra representa 43,6% </w:t>
      </w:r>
      <w:r w:rsidR="00F233BD" w:rsidRPr="009215D7">
        <w:rPr>
          <w:rFonts w:ascii="Times New Roman" w:hAnsi="Times New Roman" w:cs="Times New Roman"/>
          <w:sz w:val="24"/>
          <w:szCs w:val="24"/>
        </w:rPr>
        <w:t xml:space="preserve">da área de lavouras permanentes, sendo </w:t>
      </w:r>
      <w:r w:rsidRPr="009215D7">
        <w:rPr>
          <w:rFonts w:ascii="Times New Roman" w:hAnsi="Times New Roman" w:cs="Times New Roman"/>
          <w:sz w:val="24"/>
          <w:szCs w:val="24"/>
        </w:rPr>
        <w:t>uma opção para o plantio em pequenas áreas.</w:t>
      </w:r>
      <w:r w:rsidR="003F1BEF"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7225C2" w:rsidRPr="009215D7">
        <w:rPr>
          <w:rFonts w:ascii="Times New Roman" w:hAnsi="Times New Roman" w:cs="Times New Roman"/>
          <w:sz w:val="24"/>
          <w:szCs w:val="24"/>
        </w:rPr>
        <w:t>Na</w:t>
      </w:r>
      <w:r w:rsidRPr="009215D7">
        <w:rPr>
          <w:rFonts w:ascii="Times New Roman" w:hAnsi="Times New Roman" w:cs="Times New Roman"/>
          <w:sz w:val="24"/>
          <w:szCs w:val="24"/>
        </w:rPr>
        <w:t xml:space="preserve"> composição da renda dos produtores </w:t>
      </w:r>
      <w:r w:rsidR="007225C2" w:rsidRPr="009215D7">
        <w:rPr>
          <w:rFonts w:ascii="Times New Roman" w:hAnsi="Times New Roman" w:cs="Times New Roman"/>
          <w:sz w:val="24"/>
          <w:szCs w:val="24"/>
        </w:rPr>
        <w:t>a</w:t>
      </w:r>
      <w:r w:rsidRPr="009215D7">
        <w:rPr>
          <w:rFonts w:ascii="Times New Roman" w:hAnsi="Times New Roman" w:cs="Times New Roman"/>
          <w:sz w:val="24"/>
          <w:szCs w:val="24"/>
        </w:rPr>
        <w:t xml:space="preserve"> lavoura permanente representa 41,7% d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a renda, sendo </w:t>
      </w:r>
      <w:r w:rsidRPr="009215D7">
        <w:rPr>
          <w:rFonts w:ascii="Times New Roman" w:hAnsi="Times New Roman" w:cs="Times New Roman"/>
          <w:sz w:val="24"/>
          <w:szCs w:val="24"/>
        </w:rPr>
        <w:t>que 28,8% da renda total é proveniente da pitaya.</w:t>
      </w:r>
    </w:p>
    <w:p w14:paraId="20D6A0D4" w14:textId="2006F7B6" w:rsidR="00EF57B4" w:rsidRPr="009215D7" w:rsidRDefault="00EF57B4" w:rsidP="007225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 xml:space="preserve">Na safra 2021/22, </w:t>
      </w:r>
      <w:r w:rsidR="007225C2" w:rsidRPr="009215D7">
        <w:rPr>
          <w:rFonts w:ascii="Times New Roman" w:hAnsi="Times New Roman" w:cs="Times New Roman"/>
          <w:sz w:val="24"/>
          <w:szCs w:val="24"/>
        </w:rPr>
        <w:t>entre os principais canais de distribuição e comercialização da produção, os</w:t>
      </w:r>
      <w:r w:rsidRPr="009215D7">
        <w:rPr>
          <w:rFonts w:ascii="Times New Roman" w:hAnsi="Times New Roman" w:cs="Times New Roman"/>
          <w:sz w:val="24"/>
          <w:szCs w:val="24"/>
        </w:rPr>
        <w:t xml:space="preserve"> intermediários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 representam 44,5%</w:t>
      </w:r>
      <w:r w:rsidRPr="009215D7">
        <w:rPr>
          <w:rFonts w:ascii="Times New Roman" w:hAnsi="Times New Roman" w:cs="Times New Roman"/>
          <w:sz w:val="24"/>
          <w:szCs w:val="24"/>
        </w:rPr>
        <w:t xml:space="preserve">, 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as </w:t>
      </w:r>
      <w:r w:rsidRPr="009215D7">
        <w:rPr>
          <w:rFonts w:ascii="Times New Roman" w:hAnsi="Times New Roman" w:cs="Times New Roman"/>
          <w:sz w:val="24"/>
          <w:szCs w:val="24"/>
        </w:rPr>
        <w:t>cooperativa</w:t>
      </w:r>
      <w:r w:rsidR="007225C2" w:rsidRPr="009215D7">
        <w:rPr>
          <w:rFonts w:ascii="Times New Roman" w:hAnsi="Times New Roman" w:cs="Times New Roman"/>
          <w:sz w:val="24"/>
          <w:szCs w:val="24"/>
        </w:rPr>
        <w:t>s 26,5% e</w:t>
      </w:r>
      <w:r w:rsidRPr="009215D7">
        <w:rPr>
          <w:rFonts w:ascii="Times New Roman" w:hAnsi="Times New Roman" w:cs="Times New Roman"/>
          <w:sz w:val="24"/>
          <w:szCs w:val="24"/>
        </w:rPr>
        <w:t xml:space="preserve"> </w:t>
      </w:r>
      <w:r w:rsidR="007225C2" w:rsidRPr="009215D7">
        <w:rPr>
          <w:rFonts w:ascii="Times New Roman" w:hAnsi="Times New Roman" w:cs="Times New Roman"/>
          <w:sz w:val="24"/>
          <w:szCs w:val="24"/>
        </w:rPr>
        <w:t>o</w:t>
      </w:r>
      <w:r w:rsidRPr="009215D7">
        <w:rPr>
          <w:rFonts w:ascii="Times New Roman" w:hAnsi="Times New Roman" w:cs="Times New Roman"/>
          <w:sz w:val="24"/>
          <w:szCs w:val="24"/>
        </w:rPr>
        <w:t xml:space="preserve"> Ceasa-SC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 15,9% do destino das vendas</w:t>
      </w:r>
      <w:r w:rsidRPr="009215D7">
        <w:rPr>
          <w:rFonts w:ascii="Times New Roman" w:hAnsi="Times New Roman" w:cs="Times New Roman"/>
          <w:sz w:val="24"/>
          <w:szCs w:val="24"/>
        </w:rPr>
        <w:t>.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 Entre os </w:t>
      </w:r>
      <w:r w:rsidRPr="009215D7">
        <w:rPr>
          <w:rFonts w:ascii="Times New Roman" w:hAnsi="Times New Roman" w:cs="Times New Roman"/>
          <w:sz w:val="24"/>
          <w:szCs w:val="24"/>
        </w:rPr>
        <w:t xml:space="preserve">principais entraves encontrados na cultura da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 acima de 30% estão: </w:t>
      </w:r>
      <w:r w:rsidRPr="009215D7">
        <w:rPr>
          <w:rFonts w:ascii="Times New Roman" w:hAnsi="Times New Roman" w:cs="Times New Roman"/>
          <w:sz w:val="24"/>
          <w:szCs w:val="24"/>
        </w:rPr>
        <w:t>o preço baixo da fruta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, </w:t>
      </w:r>
      <w:r w:rsidRPr="009215D7">
        <w:rPr>
          <w:rFonts w:ascii="Times New Roman" w:hAnsi="Times New Roman" w:cs="Times New Roman"/>
          <w:sz w:val="24"/>
          <w:szCs w:val="24"/>
        </w:rPr>
        <w:t>a ocorrência de pragas e doenças, preço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 alto</w:t>
      </w:r>
      <w:r w:rsidRPr="009215D7">
        <w:rPr>
          <w:rFonts w:ascii="Times New Roman" w:hAnsi="Times New Roman" w:cs="Times New Roman"/>
          <w:sz w:val="24"/>
          <w:szCs w:val="24"/>
        </w:rPr>
        <w:t xml:space="preserve"> dos insumos</w:t>
      </w:r>
      <w:r w:rsidR="007225C2" w:rsidRPr="009215D7">
        <w:rPr>
          <w:rFonts w:ascii="Times New Roman" w:hAnsi="Times New Roman" w:cs="Times New Roman"/>
          <w:sz w:val="24"/>
          <w:szCs w:val="24"/>
        </w:rPr>
        <w:t xml:space="preserve"> e a falta de </w:t>
      </w:r>
      <w:r w:rsidRPr="009215D7">
        <w:rPr>
          <w:rFonts w:ascii="Times New Roman" w:hAnsi="Times New Roman" w:cs="Times New Roman"/>
          <w:sz w:val="24"/>
          <w:szCs w:val="24"/>
        </w:rPr>
        <w:t>defensivos registrados para a cultura.</w:t>
      </w:r>
    </w:p>
    <w:p w14:paraId="55868A76" w14:textId="7CEA606F" w:rsidR="00FD725D" w:rsidRPr="009215D7" w:rsidRDefault="00FD725D" w:rsidP="00FD7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sz w:val="24"/>
          <w:szCs w:val="24"/>
        </w:rPr>
        <w:t xml:space="preserve">Assim, a ampliação da produção e comercialização da cultura da </w:t>
      </w:r>
      <w:r w:rsidR="006D7738">
        <w:rPr>
          <w:rFonts w:ascii="Times New Roman" w:hAnsi="Times New Roman" w:cs="Times New Roman"/>
          <w:sz w:val="24"/>
          <w:szCs w:val="24"/>
        </w:rPr>
        <w:t>pitaya</w:t>
      </w:r>
      <w:r w:rsidRPr="009215D7">
        <w:rPr>
          <w:rFonts w:ascii="Times New Roman" w:hAnsi="Times New Roman" w:cs="Times New Roman"/>
          <w:sz w:val="24"/>
          <w:szCs w:val="24"/>
        </w:rPr>
        <w:t>, confirma a importância de pesquisas e estudos sobre novas culturas frutícolas no estado catarinense.</w:t>
      </w:r>
    </w:p>
    <w:p w14:paraId="4F7826D6" w14:textId="77777777" w:rsidR="00A61DBA" w:rsidRPr="009215D7" w:rsidRDefault="00A61DBA" w:rsidP="00A61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C4618" w14:textId="4D252C03" w:rsidR="00BF2363" w:rsidRPr="009215D7" w:rsidRDefault="00BF2363" w:rsidP="00BF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215D7">
        <w:rPr>
          <w:rFonts w:ascii="Times New Roman" w:hAnsi="Times New Roman" w:cs="Times New Roman"/>
          <w:sz w:val="24"/>
          <w:szCs w:val="24"/>
        </w:rPr>
        <w:t xml:space="preserve"> Economia agrícola; Produção agrícola; Fruticultura; Pitaya</w:t>
      </w:r>
      <w:r w:rsidR="00C154D9" w:rsidRPr="009215D7">
        <w:rPr>
          <w:rFonts w:ascii="Times New Roman" w:hAnsi="Times New Roman" w:cs="Times New Roman"/>
          <w:sz w:val="24"/>
          <w:szCs w:val="24"/>
        </w:rPr>
        <w:t>; Santa Catarina</w:t>
      </w:r>
      <w:r w:rsidRPr="009215D7">
        <w:rPr>
          <w:rFonts w:ascii="Times New Roman" w:hAnsi="Times New Roman" w:cs="Times New Roman"/>
          <w:sz w:val="24"/>
          <w:szCs w:val="24"/>
        </w:rPr>
        <w:t>.</w:t>
      </w:r>
    </w:p>
    <w:p w14:paraId="75C55EBD" w14:textId="7A34DF52" w:rsidR="00CA62C0" w:rsidRPr="009215D7" w:rsidRDefault="00CA62C0">
      <w:pPr>
        <w:rPr>
          <w:rFonts w:ascii="Times New Roman" w:hAnsi="Times New Roman" w:cs="Times New Roman"/>
          <w:sz w:val="24"/>
          <w:szCs w:val="24"/>
        </w:rPr>
      </w:pPr>
    </w:p>
    <w:p w14:paraId="2FD07857" w14:textId="77777777" w:rsidR="002615D2" w:rsidRPr="009215D7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5D7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698D928" w14:textId="7C4A9E4A" w:rsidR="00FD725D" w:rsidRPr="009215D7" w:rsidRDefault="00FD725D" w:rsidP="00FD725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215D7">
        <w:rPr>
          <w:rFonts w:ascii="Times New Roman" w:hAnsi="Times New Roman" w:cs="Times New Roman"/>
          <w:szCs w:val="20"/>
        </w:rPr>
        <w:t xml:space="preserve">IBGE – </w:t>
      </w:r>
      <w:r w:rsidRPr="009215D7">
        <w:rPr>
          <w:rFonts w:ascii="Times New Roman" w:hAnsi="Times New Roman" w:cs="Times New Roman"/>
          <w:b/>
          <w:szCs w:val="20"/>
        </w:rPr>
        <w:t>CENSO AGROPECUÁRIO 2017</w:t>
      </w:r>
      <w:r w:rsidRPr="009215D7">
        <w:rPr>
          <w:rFonts w:ascii="Times New Roman" w:hAnsi="Times New Roman" w:cs="Times New Roman"/>
          <w:szCs w:val="20"/>
        </w:rPr>
        <w:t>. Rio de Janeiro: IBGE, 2019, disponível em: &lt;</w:t>
      </w:r>
      <w:r w:rsidR="00E15F54" w:rsidRPr="009215D7">
        <w:rPr>
          <w:rFonts w:ascii="Times New Roman" w:hAnsi="Times New Roman" w:cs="Times New Roman"/>
          <w:szCs w:val="20"/>
          <w:u w:val="single"/>
        </w:rPr>
        <w:t>https://censoagro2017.ibge.gov.br/templates/censo_agro/resultadosagro/agricultura.html</w:t>
      </w:r>
      <w:r w:rsidRPr="009215D7">
        <w:rPr>
          <w:rFonts w:ascii="Times New Roman" w:hAnsi="Times New Roman" w:cs="Times New Roman"/>
          <w:szCs w:val="20"/>
        </w:rPr>
        <w:t>&gt;; acesso em: 28/02/2023;</w:t>
      </w:r>
    </w:p>
    <w:p w14:paraId="5E451AEE" w14:textId="117E1B43" w:rsidR="00D958C8" w:rsidRPr="009215D7" w:rsidRDefault="00D958C8" w:rsidP="00D958C8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215D7">
        <w:rPr>
          <w:rFonts w:ascii="Times New Roman" w:hAnsi="Times New Roman" w:cs="Times New Roman"/>
          <w:szCs w:val="20"/>
        </w:rPr>
        <w:t xml:space="preserve">LE BELLEC, F.; VAILLANT, F.; IMBERT, </w:t>
      </w:r>
      <w:proofErr w:type="gramStart"/>
      <w:r w:rsidRPr="009215D7">
        <w:rPr>
          <w:rFonts w:ascii="Times New Roman" w:hAnsi="Times New Roman" w:cs="Times New Roman"/>
          <w:szCs w:val="20"/>
        </w:rPr>
        <w:t>E..</w:t>
      </w:r>
      <w:proofErr w:type="gramEnd"/>
      <w:r w:rsidRPr="009215D7">
        <w:rPr>
          <w:rFonts w:ascii="Times New Roman" w:hAnsi="Times New Roman" w:cs="Times New Roman"/>
          <w:szCs w:val="20"/>
        </w:rPr>
        <w:t xml:space="preserve"> “</w:t>
      </w:r>
      <w:r w:rsidRPr="009215D7">
        <w:rPr>
          <w:rFonts w:ascii="Times New Roman" w:hAnsi="Times New Roman" w:cs="Times New Roman"/>
          <w:i/>
          <w:szCs w:val="20"/>
        </w:rPr>
        <w:t>Pitahaya (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Hylocereus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 spp.): a new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fruit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crop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, a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market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with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 a future</w:t>
      </w:r>
      <w:r w:rsidRPr="009215D7">
        <w:rPr>
          <w:rFonts w:ascii="Times New Roman" w:hAnsi="Times New Roman" w:cs="Times New Roman"/>
          <w:szCs w:val="20"/>
        </w:rPr>
        <w:t xml:space="preserve">”. </w:t>
      </w:r>
      <w:proofErr w:type="spellStart"/>
      <w:r w:rsidRPr="009215D7">
        <w:rPr>
          <w:rFonts w:ascii="Times New Roman" w:hAnsi="Times New Roman" w:cs="Times New Roman"/>
          <w:b/>
          <w:szCs w:val="20"/>
        </w:rPr>
        <w:t>Fruits</w:t>
      </w:r>
      <w:proofErr w:type="spellEnd"/>
      <w:r w:rsidRPr="009215D7">
        <w:rPr>
          <w:rFonts w:ascii="Times New Roman" w:hAnsi="Times New Roman" w:cs="Times New Roman"/>
          <w:szCs w:val="20"/>
        </w:rPr>
        <w:t xml:space="preserve">, </w:t>
      </w:r>
      <w:r w:rsidRPr="00E30C70">
        <w:rPr>
          <w:rFonts w:ascii="Times New Roman" w:hAnsi="Times New Roman" w:cs="Times New Roman"/>
          <w:i/>
          <w:szCs w:val="20"/>
        </w:rPr>
        <w:t>vol</w:t>
      </w:r>
      <w:r w:rsidRPr="009215D7">
        <w:rPr>
          <w:rFonts w:ascii="Times New Roman" w:hAnsi="Times New Roman" w:cs="Times New Roman"/>
          <w:szCs w:val="20"/>
        </w:rPr>
        <w:t xml:space="preserve">. 61, </w:t>
      </w:r>
      <w:proofErr w:type="spellStart"/>
      <w:r w:rsidR="00E30C70" w:rsidRPr="00E30C70">
        <w:rPr>
          <w:rFonts w:ascii="Times New Roman" w:hAnsi="Times New Roman" w:cs="Times New Roman"/>
          <w:i/>
          <w:szCs w:val="20"/>
        </w:rPr>
        <w:t>n</w:t>
      </w:r>
      <w:r w:rsidRPr="00E30C70">
        <w:rPr>
          <w:rFonts w:ascii="Times New Roman" w:hAnsi="Times New Roman" w:cs="Times New Roman"/>
          <w:i/>
          <w:szCs w:val="20"/>
        </w:rPr>
        <w:t>umber</w:t>
      </w:r>
      <w:proofErr w:type="spellEnd"/>
      <w:r w:rsidRPr="009215D7">
        <w:rPr>
          <w:rFonts w:ascii="Times New Roman" w:hAnsi="Times New Roman" w:cs="Times New Roman"/>
          <w:szCs w:val="20"/>
        </w:rPr>
        <w:t xml:space="preserve"> 4, </w:t>
      </w:r>
      <w:proofErr w:type="spellStart"/>
      <w:r w:rsidRPr="00E30C70">
        <w:rPr>
          <w:rFonts w:ascii="Times New Roman" w:hAnsi="Times New Roman" w:cs="Times New Roman"/>
          <w:i/>
          <w:szCs w:val="20"/>
        </w:rPr>
        <w:t>july-</w:t>
      </w:r>
      <w:r w:rsidR="00E30C70" w:rsidRPr="00E30C70">
        <w:rPr>
          <w:rFonts w:ascii="Times New Roman" w:hAnsi="Times New Roman" w:cs="Times New Roman"/>
          <w:i/>
          <w:szCs w:val="20"/>
        </w:rPr>
        <w:t>a</w:t>
      </w:r>
      <w:r w:rsidRPr="00E30C70">
        <w:rPr>
          <w:rFonts w:ascii="Times New Roman" w:hAnsi="Times New Roman" w:cs="Times New Roman"/>
          <w:i/>
          <w:szCs w:val="20"/>
        </w:rPr>
        <w:t>ugust</w:t>
      </w:r>
      <w:proofErr w:type="spellEnd"/>
      <w:r w:rsidRPr="009215D7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9215D7">
        <w:rPr>
          <w:rFonts w:ascii="Times New Roman" w:hAnsi="Times New Roman" w:cs="Times New Roman"/>
          <w:szCs w:val="20"/>
        </w:rPr>
        <w:t>Cirad</w:t>
      </w:r>
      <w:proofErr w:type="spellEnd"/>
      <w:r w:rsidRPr="009215D7">
        <w:rPr>
          <w:rFonts w:ascii="Times New Roman" w:hAnsi="Times New Roman" w:cs="Times New Roman"/>
          <w:szCs w:val="20"/>
        </w:rPr>
        <w:t xml:space="preserve">/EDP </w:t>
      </w:r>
      <w:proofErr w:type="spellStart"/>
      <w:r w:rsidRPr="009215D7">
        <w:rPr>
          <w:rFonts w:ascii="Times New Roman" w:hAnsi="Times New Roman" w:cs="Times New Roman"/>
          <w:szCs w:val="20"/>
        </w:rPr>
        <w:t>Sciences</w:t>
      </w:r>
      <w:proofErr w:type="spellEnd"/>
      <w:r w:rsidRPr="009215D7">
        <w:rPr>
          <w:rFonts w:ascii="Times New Roman" w:hAnsi="Times New Roman" w:cs="Times New Roman"/>
          <w:szCs w:val="20"/>
        </w:rPr>
        <w:t>: 2006, p. 237–250 (ISSN 0248-1294, DOI: 10.1051/fruits:2006021); disponível em: &lt;</w:t>
      </w:r>
      <w:hyperlink r:id="rId10" w:history="1">
        <w:r w:rsidRPr="009215D7">
          <w:rPr>
            <w:rFonts w:ascii="Times New Roman" w:hAnsi="Times New Roman" w:cs="Times New Roman"/>
            <w:szCs w:val="20"/>
            <w:u w:val="single"/>
          </w:rPr>
          <w:t>https://fruits.edpsciences.org/articles/fruits/abs/2006/04/i6020/i6020.html</w:t>
        </w:r>
      </w:hyperlink>
      <w:r w:rsidRPr="009215D7">
        <w:rPr>
          <w:rFonts w:ascii="Times New Roman" w:hAnsi="Times New Roman" w:cs="Times New Roman"/>
          <w:szCs w:val="20"/>
        </w:rPr>
        <w:t>&gt;; acesso em: 03/03/2023;</w:t>
      </w:r>
    </w:p>
    <w:p w14:paraId="5F152509" w14:textId="56CE23FD" w:rsidR="002615D2" w:rsidRPr="009215D7" w:rsidRDefault="003F447A" w:rsidP="0040640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215D7">
        <w:rPr>
          <w:rFonts w:ascii="Times New Roman" w:hAnsi="Times New Roman" w:cs="Times New Roman"/>
          <w:szCs w:val="20"/>
        </w:rPr>
        <w:t xml:space="preserve">GOULART JUNIOR, R.; REITER, J.M.W. </w:t>
      </w:r>
      <w:r w:rsidRPr="009215D7">
        <w:rPr>
          <w:rFonts w:ascii="Times New Roman" w:hAnsi="Times New Roman" w:cs="Times New Roman"/>
          <w:b/>
          <w:szCs w:val="20"/>
        </w:rPr>
        <w:t xml:space="preserve">Relatório de projeto - Diagnóstico da cultura da </w:t>
      </w:r>
      <w:r w:rsidR="006D7738">
        <w:rPr>
          <w:rFonts w:ascii="Times New Roman" w:hAnsi="Times New Roman" w:cs="Times New Roman"/>
          <w:b/>
          <w:szCs w:val="20"/>
        </w:rPr>
        <w:t>Pitaia</w:t>
      </w:r>
      <w:r w:rsidRPr="009215D7">
        <w:rPr>
          <w:rFonts w:ascii="Times New Roman" w:hAnsi="Times New Roman" w:cs="Times New Roman"/>
          <w:b/>
          <w:szCs w:val="20"/>
        </w:rPr>
        <w:t>: Caracterização dos produtores e da produção</w:t>
      </w:r>
      <w:r w:rsidRPr="009215D7">
        <w:rPr>
          <w:rFonts w:ascii="Times New Roman" w:hAnsi="Times New Roman" w:cs="Times New Roman"/>
          <w:szCs w:val="20"/>
        </w:rPr>
        <w:t>. Florianópolis: Epagri, 2022 (Relatório)</w:t>
      </w:r>
      <w:r w:rsidR="00FD725D" w:rsidRPr="009215D7">
        <w:rPr>
          <w:rFonts w:ascii="Times New Roman" w:hAnsi="Times New Roman" w:cs="Times New Roman"/>
          <w:szCs w:val="20"/>
        </w:rPr>
        <w:t>;</w:t>
      </w:r>
    </w:p>
    <w:p w14:paraId="7356C1AF" w14:textId="55A77EF5" w:rsidR="00A845D3" w:rsidRPr="009215D7" w:rsidRDefault="00A845D3" w:rsidP="00A845D3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215D7">
        <w:rPr>
          <w:rFonts w:ascii="Times New Roman" w:hAnsi="Times New Roman" w:cs="Times New Roman"/>
          <w:szCs w:val="20"/>
        </w:rPr>
        <w:t xml:space="preserve">GOULART JUNIOR, R.; REITER, J.M.W.; VEIGA, </w:t>
      </w:r>
      <w:proofErr w:type="spellStart"/>
      <w:r w:rsidRPr="009215D7">
        <w:rPr>
          <w:rFonts w:ascii="Times New Roman" w:hAnsi="Times New Roman" w:cs="Times New Roman"/>
          <w:szCs w:val="20"/>
        </w:rPr>
        <w:t>S.N.da</w:t>
      </w:r>
      <w:proofErr w:type="spellEnd"/>
      <w:r w:rsidRPr="009215D7">
        <w:rPr>
          <w:rFonts w:ascii="Times New Roman" w:hAnsi="Times New Roman" w:cs="Times New Roman"/>
          <w:szCs w:val="20"/>
        </w:rPr>
        <w:t xml:space="preserve">. </w:t>
      </w:r>
      <w:r w:rsidRPr="009215D7">
        <w:rPr>
          <w:rFonts w:ascii="Times New Roman" w:hAnsi="Times New Roman" w:cs="Times New Roman"/>
          <w:b/>
          <w:szCs w:val="20"/>
        </w:rPr>
        <w:t xml:space="preserve">Relatório parcial de análise dos dados (frutas agrupadas em </w:t>
      </w:r>
      <w:proofErr w:type="spellStart"/>
      <w:r w:rsidRPr="009215D7">
        <w:rPr>
          <w:rFonts w:ascii="Times New Roman" w:hAnsi="Times New Roman" w:cs="Times New Roman"/>
          <w:b/>
          <w:szCs w:val="20"/>
        </w:rPr>
        <w:t>UGTs</w:t>
      </w:r>
      <w:proofErr w:type="spellEnd"/>
      <w:r w:rsidRPr="009215D7">
        <w:rPr>
          <w:rFonts w:ascii="Times New Roman" w:hAnsi="Times New Roman" w:cs="Times New Roman"/>
          <w:b/>
          <w:szCs w:val="20"/>
        </w:rPr>
        <w:t>) – levantamento da fruticultura – frutas de clima (sub)</w:t>
      </w:r>
      <w:r w:rsidR="00E15F54" w:rsidRPr="009215D7">
        <w:rPr>
          <w:rFonts w:ascii="Times New Roman" w:hAnsi="Times New Roman" w:cs="Times New Roman"/>
          <w:b/>
          <w:szCs w:val="20"/>
        </w:rPr>
        <w:t xml:space="preserve"> </w:t>
      </w:r>
      <w:r w:rsidRPr="009215D7">
        <w:rPr>
          <w:rFonts w:ascii="Times New Roman" w:hAnsi="Times New Roman" w:cs="Times New Roman"/>
          <w:b/>
          <w:szCs w:val="20"/>
        </w:rPr>
        <w:t>tropical 2021/22</w:t>
      </w:r>
      <w:r w:rsidRPr="009215D7">
        <w:rPr>
          <w:rFonts w:ascii="Times New Roman" w:hAnsi="Times New Roman" w:cs="Times New Roman"/>
          <w:szCs w:val="20"/>
        </w:rPr>
        <w:t>. Florianópolis: Epagri, 2022 (Relatório)</w:t>
      </w:r>
      <w:r w:rsidR="00FD725D" w:rsidRPr="009215D7">
        <w:rPr>
          <w:rFonts w:ascii="Times New Roman" w:hAnsi="Times New Roman" w:cs="Times New Roman"/>
          <w:szCs w:val="20"/>
        </w:rPr>
        <w:t>;</w:t>
      </w:r>
    </w:p>
    <w:p w14:paraId="13534EA6" w14:textId="7DFCF40B" w:rsidR="0082443A" w:rsidRPr="0082443A" w:rsidRDefault="00FD725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215D7">
        <w:rPr>
          <w:rFonts w:ascii="Times New Roman" w:hAnsi="Times New Roman" w:cs="Times New Roman"/>
          <w:szCs w:val="20"/>
        </w:rPr>
        <w:t xml:space="preserve">TRIDGE.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Tridge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 Global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Fulfillment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solution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 - Market </w:t>
      </w:r>
      <w:proofErr w:type="spellStart"/>
      <w:r w:rsidRPr="009215D7">
        <w:rPr>
          <w:rFonts w:ascii="Times New Roman" w:hAnsi="Times New Roman" w:cs="Times New Roman"/>
          <w:i/>
          <w:szCs w:val="20"/>
        </w:rPr>
        <w:t>Intelligences</w:t>
      </w:r>
      <w:proofErr w:type="spellEnd"/>
      <w:r w:rsidRPr="009215D7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9215D7">
        <w:rPr>
          <w:rFonts w:ascii="Times New Roman" w:hAnsi="Times New Roman" w:cs="Times New Roman"/>
          <w:b/>
          <w:i/>
          <w:szCs w:val="20"/>
        </w:rPr>
        <w:t>Tridge</w:t>
      </w:r>
      <w:proofErr w:type="spellEnd"/>
      <w:r w:rsidRPr="009215D7"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 w:rsidRPr="009215D7">
        <w:rPr>
          <w:rFonts w:ascii="Times New Roman" w:hAnsi="Times New Roman" w:cs="Times New Roman"/>
          <w:b/>
          <w:i/>
          <w:szCs w:val="20"/>
        </w:rPr>
        <w:t>Exhibition</w:t>
      </w:r>
      <w:proofErr w:type="spellEnd"/>
      <w:r w:rsidRPr="009215D7">
        <w:rPr>
          <w:rFonts w:ascii="Times New Roman" w:hAnsi="Times New Roman" w:cs="Times New Roman"/>
          <w:b/>
          <w:i/>
          <w:szCs w:val="20"/>
        </w:rPr>
        <w:t xml:space="preserve"> 365 – </w:t>
      </w:r>
      <w:proofErr w:type="spellStart"/>
      <w:r w:rsidRPr="009215D7">
        <w:rPr>
          <w:rFonts w:ascii="Times New Roman" w:hAnsi="Times New Roman" w:cs="Times New Roman"/>
          <w:b/>
          <w:i/>
          <w:szCs w:val="20"/>
        </w:rPr>
        <w:t>Product</w:t>
      </w:r>
      <w:proofErr w:type="spellEnd"/>
      <w:r w:rsidRPr="009215D7">
        <w:rPr>
          <w:rFonts w:ascii="Times New Roman" w:hAnsi="Times New Roman" w:cs="Times New Roman"/>
          <w:b/>
          <w:i/>
          <w:szCs w:val="20"/>
        </w:rPr>
        <w:t xml:space="preserve"> Browser: </w:t>
      </w:r>
      <w:proofErr w:type="spellStart"/>
      <w:r w:rsidRPr="009215D7">
        <w:rPr>
          <w:rFonts w:ascii="Times New Roman" w:hAnsi="Times New Roman" w:cs="Times New Roman"/>
          <w:b/>
          <w:i/>
          <w:szCs w:val="20"/>
        </w:rPr>
        <w:t>Fresh</w:t>
      </w:r>
      <w:proofErr w:type="spellEnd"/>
      <w:r w:rsidRPr="009215D7">
        <w:rPr>
          <w:rFonts w:ascii="Times New Roman" w:hAnsi="Times New Roman" w:cs="Times New Roman"/>
          <w:b/>
          <w:i/>
          <w:szCs w:val="20"/>
        </w:rPr>
        <w:t xml:space="preserve"> Dragon </w:t>
      </w:r>
      <w:proofErr w:type="spellStart"/>
      <w:r w:rsidRPr="009215D7">
        <w:rPr>
          <w:rFonts w:ascii="Times New Roman" w:hAnsi="Times New Roman" w:cs="Times New Roman"/>
          <w:b/>
          <w:i/>
          <w:szCs w:val="20"/>
        </w:rPr>
        <w:t>Fruit</w:t>
      </w:r>
      <w:proofErr w:type="spellEnd"/>
      <w:r w:rsidRPr="009215D7">
        <w:rPr>
          <w:rFonts w:ascii="Times New Roman" w:hAnsi="Times New Roman" w:cs="Times New Roman"/>
          <w:szCs w:val="20"/>
        </w:rPr>
        <w:t xml:space="preserve">, Seoul (ROK): </w:t>
      </w:r>
      <w:proofErr w:type="spellStart"/>
      <w:r w:rsidRPr="009215D7">
        <w:rPr>
          <w:rFonts w:ascii="Times New Roman" w:hAnsi="Times New Roman" w:cs="Times New Roman"/>
          <w:szCs w:val="20"/>
        </w:rPr>
        <w:t>Tridge</w:t>
      </w:r>
      <w:proofErr w:type="spellEnd"/>
      <w:r w:rsidRPr="009215D7">
        <w:rPr>
          <w:rFonts w:ascii="Times New Roman" w:hAnsi="Times New Roman" w:cs="Times New Roman"/>
          <w:szCs w:val="20"/>
        </w:rPr>
        <w:t xml:space="preserve"> Global, 2023; disponível em: &lt;</w:t>
      </w:r>
      <w:hyperlink r:id="rId11" w:history="1">
        <w:r w:rsidRPr="009215D7">
          <w:rPr>
            <w:rStyle w:val="Hyperlink"/>
            <w:rFonts w:ascii="Times New Roman" w:hAnsi="Times New Roman" w:cs="Times New Roman"/>
            <w:color w:val="auto"/>
            <w:szCs w:val="20"/>
          </w:rPr>
          <w:t>https://www.tridge.com/pt/intelligences/dragon-fruit</w:t>
        </w:r>
      </w:hyperlink>
      <w:r w:rsidRPr="009215D7">
        <w:rPr>
          <w:rFonts w:ascii="Times New Roman" w:hAnsi="Times New Roman" w:cs="Times New Roman"/>
          <w:szCs w:val="20"/>
        </w:rPr>
        <w:t>&gt;; acesso em: 28/02/2023.</w:t>
      </w:r>
    </w:p>
    <w:sectPr w:rsidR="0082443A" w:rsidRPr="00824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0"/>
    <w:rsid w:val="0002282B"/>
    <w:rsid w:val="00030BAD"/>
    <w:rsid w:val="000A3195"/>
    <w:rsid w:val="000E023D"/>
    <w:rsid w:val="000E7D05"/>
    <w:rsid w:val="001417A9"/>
    <w:rsid w:val="00163AA6"/>
    <w:rsid w:val="001742B8"/>
    <w:rsid w:val="00177672"/>
    <w:rsid w:val="00183CFD"/>
    <w:rsid w:val="001A4581"/>
    <w:rsid w:val="001C5A5F"/>
    <w:rsid w:val="001D5D6E"/>
    <w:rsid w:val="002226DF"/>
    <w:rsid w:val="00241B06"/>
    <w:rsid w:val="002615D2"/>
    <w:rsid w:val="00262C80"/>
    <w:rsid w:val="002B428D"/>
    <w:rsid w:val="002B5D8C"/>
    <w:rsid w:val="002D236A"/>
    <w:rsid w:val="002D62FB"/>
    <w:rsid w:val="002E30F6"/>
    <w:rsid w:val="002E5F88"/>
    <w:rsid w:val="00322A0E"/>
    <w:rsid w:val="00357F6B"/>
    <w:rsid w:val="00362565"/>
    <w:rsid w:val="003701C2"/>
    <w:rsid w:val="00376CE0"/>
    <w:rsid w:val="003B1A03"/>
    <w:rsid w:val="003C4E43"/>
    <w:rsid w:val="003E1B5C"/>
    <w:rsid w:val="003F1BEF"/>
    <w:rsid w:val="003F447A"/>
    <w:rsid w:val="004032AF"/>
    <w:rsid w:val="00406404"/>
    <w:rsid w:val="00434917"/>
    <w:rsid w:val="00442EC1"/>
    <w:rsid w:val="0046558D"/>
    <w:rsid w:val="00491391"/>
    <w:rsid w:val="00497A21"/>
    <w:rsid w:val="004A16AD"/>
    <w:rsid w:val="004B7304"/>
    <w:rsid w:val="005067E2"/>
    <w:rsid w:val="005142B0"/>
    <w:rsid w:val="00543F2D"/>
    <w:rsid w:val="00566AFB"/>
    <w:rsid w:val="005B411D"/>
    <w:rsid w:val="005F59A1"/>
    <w:rsid w:val="00622E97"/>
    <w:rsid w:val="0063063C"/>
    <w:rsid w:val="006A0F95"/>
    <w:rsid w:val="006D5FF5"/>
    <w:rsid w:val="006D7738"/>
    <w:rsid w:val="0070383B"/>
    <w:rsid w:val="00717E5E"/>
    <w:rsid w:val="007225C2"/>
    <w:rsid w:val="00753122"/>
    <w:rsid w:val="00762464"/>
    <w:rsid w:val="007822D7"/>
    <w:rsid w:val="007A4743"/>
    <w:rsid w:val="007B61D2"/>
    <w:rsid w:val="007D4AC4"/>
    <w:rsid w:val="0080056A"/>
    <w:rsid w:val="00810028"/>
    <w:rsid w:val="00821D8B"/>
    <w:rsid w:val="0082443A"/>
    <w:rsid w:val="0083667A"/>
    <w:rsid w:val="00846839"/>
    <w:rsid w:val="00846BBF"/>
    <w:rsid w:val="00894F84"/>
    <w:rsid w:val="008A27A7"/>
    <w:rsid w:val="008B1277"/>
    <w:rsid w:val="008B24EE"/>
    <w:rsid w:val="008B589C"/>
    <w:rsid w:val="008C301E"/>
    <w:rsid w:val="008C7019"/>
    <w:rsid w:val="008F369A"/>
    <w:rsid w:val="00901251"/>
    <w:rsid w:val="009170F5"/>
    <w:rsid w:val="009215D7"/>
    <w:rsid w:val="009405C0"/>
    <w:rsid w:val="009539B1"/>
    <w:rsid w:val="00957091"/>
    <w:rsid w:val="00962DCC"/>
    <w:rsid w:val="009D1BDE"/>
    <w:rsid w:val="009E74D9"/>
    <w:rsid w:val="009F5D13"/>
    <w:rsid w:val="009F6B9F"/>
    <w:rsid w:val="009F7AB3"/>
    <w:rsid w:val="00A15498"/>
    <w:rsid w:val="00A22AC9"/>
    <w:rsid w:val="00A43201"/>
    <w:rsid w:val="00A61DBA"/>
    <w:rsid w:val="00A845D3"/>
    <w:rsid w:val="00AB5167"/>
    <w:rsid w:val="00B07D15"/>
    <w:rsid w:val="00B1532A"/>
    <w:rsid w:val="00B17C03"/>
    <w:rsid w:val="00B67A86"/>
    <w:rsid w:val="00BE0114"/>
    <w:rsid w:val="00BE7D6A"/>
    <w:rsid w:val="00BF2363"/>
    <w:rsid w:val="00BF3E4A"/>
    <w:rsid w:val="00C14F44"/>
    <w:rsid w:val="00C154D9"/>
    <w:rsid w:val="00C5152F"/>
    <w:rsid w:val="00C72B34"/>
    <w:rsid w:val="00C759F7"/>
    <w:rsid w:val="00CA0588"/>
    <w:rsid w:val="00CA4722"/>
    <w:rsid w:val="00CA62C0"/>
    <w:rsid w:val="00CB396A"/>
    <w:rsid w:val="00CD0856"/>
    <w:rsid w:val="00CE17E9"/>
    <w:rsid w:val="00D00565"/>
    <w:rsid w:val="00D012EB"/>
    <w:rsid w:val="00D2199B"/>
    <w:rsid w:val="00D35A07"/>
    <w:rsid w:val="00D52863"/>
    <w:rsid w:val="00D871A1"/>
    <w:rsid w:val="00D9097F"/>
    <w:rsid w:val="00D958C8"/>
    <w:rsid w:val="00E15F54"/>
    <w:rsid w:val="00E30C70"/>
    <w:rsid w:val="00E36B0E"/>
    <w:rsid w:val="00E52F39"/>
    <w:rsid w:val="00E874E3"/>
    <w:rsid w:val="00EA7923"/>
    <w:rsid w:val="00EF57B4"/>
    <w:rsid w:val="00F00A2A"/>
    <w:rsid w:val="00F12B8B"/>
    <w:rsid w:val="00F220C7"/>
    <w:rsid w:val="00F233BD"/>
    <w:rsid w:val="00F259A1"/>
    <w:rsid w:val="00F41120"/>
    <w:rsid w:val="00F501C8"/>
    <w:rsid w:val="00F92790"/>
    <w:rsid w:val="00F959F2"/>
    <w:rsid w:val="00FC6283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FCB0"/>
  <w15:chartTrackingRefBased/>
  <w15:docId w15:val="{FB322A03-41B0-45C4-9CA0-8AE5069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B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B5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-scope">
    <w:name w:val="x-scope"/>
    <w:basedOn w:val="Normal"/>
    <w:rsid w:val="0071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2-timesnewroman">
    <w:name w:val="qowt-font2-timesnewroman"/>
    <w:basedOn w:val="Fontepargpadro"/>
    <w:rsid w:val="00717E5E"/>
  </w:style>
  <w:style w:type="character" w:styleId="Hyperlink">
    <w:name w:val="Hyperlink"/>
    <w:basedOn w:val="Fontepargpadro"/>
    <w:uiPriority w:val="99"/>
    <w:unhideWhenUsed/>
    <w:rsid w:val="004655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egosilva@epagri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ice@epagri.sc.gov.br" TargetMode="External"/><Relationship Id="rId11" Type="http://schemas.openxmlformats.org/officeDocument/2006/relationships/hyperlink" Target="https://www.tridge.com/pt/intelligences/dragon-fruit" TargetMode="External"/><Relationship Id="rId5" Type="http://schemas.openxmlformats.org/officeDocument/2006/relationships/hyperlink" Target="mailto:rogeriojunior@epagri.sc.gov.br" TargetMode="External"/><Relationship Id="rId10" Type="http://schemas.openxmlformats.org/officeDocument/2006/relationships/hyperlink" Target="https://fruits.edpsciences.org/articles/fruits/abs/2006/04/i6020/i6020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A87D-D1D3-4F19-86F5-B6EC3F71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Rogério Goulart Junior</cp:lastModifiedBy>
  <cp:revision>2</cp:revision>
  <dcterms:created xsi:type="dcterms:W3CDTF">2023-04-24T14:24:00Z</dcterms:created>
  <dcterms:modified xsi:type="dcterms:W3CDTF">2023-04-24T14:24:00Z</dcterms:modified>
</cp:coreProperties>
</file>