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FORMAÇÃO DE PROFESSORES E OS SENTIDOS DE COLABORAÇÃO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Monica dos Santos Toledo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i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Mônica Vasconcellos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Este trabalho busca discutir acepções de colaboração </w:t>
      </w:r>
      <w:r w:rsidDel="00000000" w:rsidR="00000000" w:rsidRPr="00000000">
        <w:rPr>
          <w:sz w:val="20"/>
          <w:szCs w:val="20"/>
          <w:rtl w:val="0"/>
        </w:rPr>
        <w:t xml:space="preserve">na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formação docente, a partir de dados levantados 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Diretório de Grupos de Pesquisa do CNPq (DGP-CNPq). A investigação que o originou </w:t>
      </w:r>
      <w:r w:rsidDel="00000000" w:rsidR="00000000" w:rsidRPr="00000000">
        <w:rPr>
          <w:sz w:val="20"/>
          <w:szCs w:val="20"/>
          <w:rtl w:val="0"/>
        </w:rPr>
        <w:t xml:space="preserve">constitui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parte de </w:t>
      </w:r>
      <w:r w:rsidDel="00000000" w:rsidR="00000000" w:rsidRPr="00000000">
        <w:rPr>
          <w:sz w:val="20"/>
          <w:szCs w:val="20"/>
          <w:rtl w:val="0"/>
        </w:rPr>
        <w:t xml:space="preserve">uma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tese de doutoramento que estuda contribuições da colaboração no</w:t>
      </w:r>
      <w:r w:rsidDel="00000000" w:rsidR="00000000" w:rsidRPr="00000000">
        <w:rPr>
          <w:sz w:val="20"/>
          <w:szCs w:val="20"/>
          <w:rtl w:val="0"/>
        </w:rPr>
        <w:t xml:space="preserve">s processos formativos de professores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Para a presente discussão, mobilizamos os conceitos de formação de professores pela profissão (NÓVOA, 2017) em contextos colaborativos (FIORENTINI, 2019; BOAVIDA e PONTE, 2002) a partir das relações entre universidade e escola básica (NACARATO, 2016; ZEICHNER, 2010). Considerando o objetivo mencionado,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nos debruçamos sobre as informações dispostas na página do DGP-CNPq, o que envolveu diversas etapas intimamente ligadas: visita exploratória ao Diretório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busca</w:t>
      </w:r>
      <w:r w:rsidDel="00000000" w:rsidR="00000000" w:rsidRPr="00000000">
        <w:rPr>
          <w:sz w:val="20"/>
          <w:szCs w:val="20"/>
          <w:rtl w:val="0"/>
        </w:rPr>
        <w:t xml:space="preserve"> 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detalhamento das informações relacionadas aos grupos e análise das informações que emergiram. Dentre os </w:t>
      </w:r>
      <w:r w:rsidDel="00000000" w:rsidR="00000000" w:rsidRPr="00000000">
        <w:rPr>
          <w:sz w:val="20"/>
          <w:szCs w:val="20"/>
          <w:rtl w:val="0"/>
        </w:rPr>
        <w:t xml:space="preserve">achados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verificamos que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 plataforma analisada registra 3.595 grupos de pesquisa na área 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Edu</w:t>
      </w:r>
      <w:r w:rsidDel="00000000" w:rsidR="00000000" w:rsidRPr="00000000">
        <w:rPr>
          <w:sz w:val="20"/>
          <w:szCs w:val="20"/>
          <w:rtl w:val="0"/>
        </w:rPr>
        <w:t xml:space="preserve">cação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o que representa 9,6% do total de grupos brasi</w:t>
      </w:r>
      <w:r w:rsidDel="00000000" w:rsidR="00000000" w:rsidRPr="00000000">
        <w:rPr>
          <w:sz w:val="20"/>
          <w:szCs w:val="20"/>
          <w:rtl w:val="0"/>
        </w:rPr>
        <w:t xml:space="preserve">leiros cadastrados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Desse universo, selecionamos 59 grupos que</w:t>
      </w:r>
      <w:r w:rsidDel="00000000" w:rsidR="00000000" w:rsidRPr="00000000">
        <w:rPr>
          <w:sz w:val="20"/>
          <w:szCs w:val="20"/>
          <w:rtl w:val="0"/>
        </w:rPr>
        <w:t xml:space="preserve"> correspondiam aos objetivos mencionados. As informações decorrentes do levantamento foram organizadas em quatro categorias que apontaram alguns sentidos de colaboração nos modos de organização e/ou de atuação dos grupos; colaboração como metodologia de pesquisa; colaboração como dinâmica de trabalho do grupo; colaboração como relação de parceria com a escola básica; colaboração como metodologia de formação de professores e desenvolvimento profissional. As categorias mencionadas, apesar de distintas, são correlacionadas e nos ajudam a ter uma compreensão mais apurada acerca dos diversos enfoques presentes na descrição dos grupos colaborativos localizados. Entendemos ser fundamental um aprofundamento sobre a colaboração na formação de professores, bem como sobre os modos como esta perspectiva vem se apresentando por meio da atuação dos grupos de pesquisa brasileiros.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sz w:val="20"/>
          <w:szCs w:val="20"/>
          <w:rtl w:val="0"/>
        </w:rPr>
        <w:t xml:space="preserve">Formação de Professores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C</w:t>
      </w:r>
      <w:r w:rsidDel="00000000" w:rsidR="00000000" w:rsidRPr="00000000">
        <w:rPr>
          <w:sz w:val="20"/>
          <w:szCs w:val="20"/>
          <w:rtl w:val="0"/>
        </w:rPr>
        <w:t xml:space="preserve">olaboração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Grupos de Pesquisa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BOAVIDA, A. M. e PONTE, J. P. Investigação colaborativa: Potencialidades e problemas. In GTI (Org), Reflectir e investigar sobre a prática profissional (pp. 43-55). Lisboa: APM, 2002.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CAPES/DGP-CNPq. Diretório de Grupos de Pesquisa no Brasil. Disponível em: https://lattes.cnpq.br/web/dgp/sobre14. Acesso em: abril a junho/2021.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FIORENTINI, D. Pesquisar práticas colaborativas ou pesquisar colaborativamente? In.: BORBA, M.; ARAÚJO, J. L. (org.). Pesquisa qualitativa em Educação Matemática. Belo Horizonte: Autêntica, 2019.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NACARATO, A. M. A parceria universidade-escola: utopia ou possibilidade de formação continuada no âmbito das políticas públicas? Revista Brasileira de Educação v. 21 n. 66, jul.-set. 2016.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NÓVOA, A. Firmar a posição como professor, afirmar a profissão docente. ​In​: Cadernos de Pesquisa. Fundação Carlos Chagas. v. 47, n. 166, out/dez, 2017. Disponível em: https://www.scielo.br/j/cp/a/WYkPDBFzMzrvnbsbYjmvCbd/abstract/?lang=pt. Acesso em: 04/04/2022.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b w:val="1"/>
          <w:color w:val="212121"/>
          <w:sz w:val="28"/>
          <w:szCs w:val="28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ZEICHNER, K. Repensando as conexões entre a formação na universidade e as experiências de campo na formação de professores em faculdades e universidades. Educação, Santa Maria, v. 35, n. 3, p. 479-504, set./dez. 2010.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boto" w:cs="Roboto" w:eastAsia="Roboto" w:hAnsi="Roboto"/>
        <w:color w:val="00000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VII Seminário Discente PPGEDU – Universidade Federal Fluminense 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boto" w:cs="Roboto" w:eastAsia="Roboto" w:hAnsi="Roboto"/>
        <w:color w:val="00000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10 Anos da Lei de Cotas: Acesso e Permanência na Universidade 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000000"/>
        <w:sz w:val="16"/>
        <w:szCs w:val="16"/>
        <w:highlight w:val="white"/>
        <w:rtl w:val="0"/>
      </w:rPr>
      <w:t xml:space="preserve">Niterói – RJ, 30 de novembro, 1 e 2 de dezembro de 202</w:t>
    </w:r>
    <w:r w:rsidDel="00000000" w:rsidR="00000000" w:rsidRPr="00000000">
      <w:rPr>
        <w:rFonts w:ascii="Roboto" w:cs="Roboto" w:eastAsia="Roboto" w:hAnsi="Roboto"/>
        <w:color w:val="000000"/>
        <w:sz w:val="16"/>
        <w:szCs w:val="16"/>
        <w:rtl w:val="0"/>
      </w:rPr>
      <w:t xml:space="preserve">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Mestre em Educação (UFRJ), Doutoranda em Educação (UFF) e professora da Educação Básica no Coluni-UFF. Contato: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monicasantos@id.uff.br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Doutora em Educação (UFMS) e professora da Faculdade de Educação da UFF, atuando na Graduação e Pós-Graduação. Contato: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monicavasconcellos@id.uff.br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07222" cy="1193577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391" l="0" r="0" t="24402"/>
                  <a:stretch>
                    <a:fillRect/>
                  </a:stretch>
                </pic:blipFill>
                <pic:spPr>
                  <a:xfrm>
                    <a:off x="0" y="0"/>
                    <a:ext cx="5907222" cy="1193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B43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433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43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433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433A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onicasantos@id.uff.br" TargetMode="External"/><Relationship Id="rId2" Type="http://schemas.openxmlformats.org/officeDocument/2006/relationships/hyperlink" Target="mailto:monicavasconcellos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JtgLZJAual02TgJl28zLrz++fg==">AMUW2mV3soHEZfB0IdQS3U2yQp1UKwZYcDKbmUot0j3HMTIMUhTcoXE8j2rASTmski7o9uv37/1opxQ69Xj215+KoOwXBIxhsi/5Qwk/yw3suFs7SJwQP1NxflNqILVWggel4vYkl5TV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2022-11-03T23:34:00Z</dcterms:created>
</cp:coreProperties>
</file>