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outline w:val="0"/>
          <w:color w:val="222222"/>
          <w:sz w:val="26"/>
          <w:szCs w:val="26"/>
          <w:u w:val="none" w:color="222222"/>
          <w:rtl w:val="0"/>
          <w14:textFill>
            <w14:solidFill>
              <w14:srgbClr w14:val="222222"/>
            </w14:solidFill>
          </w14:textFill>
        </w:rPr>
        <w:t>O DRAMA E SUA IMPLICA</w:t>
      </w:r>
      <w:r>
        <w:rPr>
          <w:b w:val="1"/>
          <w:bCs w:val="1"/>
          <w:outline w:val="0"/>
          <w:color w:val="222222"/>
          <w:sz w:val="26"/>
          <w:szCs w:val="26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b w:val="1"/>
          <w:bCs w:val="1"/>
          <w:outline w:val="0"/>
          <w:color w:val="222222"/>
          <w:sz w:val="26"/>
          <w:szCs w:val="26"/>
          <w:u w:val="none" w:color="222222"/>
          <w:rtl w:val="0"/>
          <w:lang w:val="es-ES_tradnl"/>
          <w14:textFill>
            <w14:solidFill>
              <w14:srgbClr w14:val="222222"/>
            </w14:solidFill>
          </w14:textFill>
        </w:rPr>
        <w:t>O NO DESENVOLVIMENTO HUMANO</w:t>
      </w:r>
    </w:p>
    <w:p>
      <w:pPr>
        <w:pStyle w:val="Corpo A"/>
        <w:jc w:val="center"/>
        <w:rPr>
          <w:b w:val="1"/>
          <w:bCs w:val="1"/>
          <w:sz w:val="26"/>
          <w:szCs w:val="26"/>
        </w:rPr>
      </w:pPr>
    </w:p>
    <w:p>
      <w:pPr>
        <w:pStyle w:val="Corpo A"/>
        <w:jc w:val="right"/>
        <w:rPr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4"/>
          <w:szCs w:val="24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Bety Ribeiro Corr</w:t>
      </w:r>
      <w:r>
        <w:rPr>
          <w:i w:val="1"/>
          <w:iCs w:val="1"/>
          <w:outline w:val="0"/>
          <w:color w:val="000000"/>
          <w:sz w:val="24"/>
          <w:szCs w:val="24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i w:val="1"/>
          <w:iCs w:val="1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i w:val="1"/>
          <w:iCs w:val="1"/>
          <w:outline w:val="0"/>
          <w:color w:val="000000"/>
          <w:sz w:val="24"/>
          <w:szCs w:val="24"/>
          <w:u w:val="none" w:color="000000"/>
          <w:vertAlign w:val="superscript"/>
          <w14:textFill>
            <w14:solidFill>
              <w14:srgbClr w14:val="000000"/>
            </w14:solidFill>
          </w14:textFill>
        </w:rPr>
        <w:footnoteReference w:id="1"/>
      </w:r>
    </w:p>
    <w:p>
      <w:pPr>
        <w:pStyle w:val="Corpo A"/>
        <w:jc w:val="right"/>
        <w:rPr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O-normal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jc w:val="both"/>
        <w:rPr>
          <w:sz w:val="20"/>
          <w:szCs w:val="20"/>
        </w:rPr>
      </w:pPr>
      <w:r>
        <w:rPr>
          <w:b w:val="1"/>
          <w:bCs w:val="1"/>
          <w:outline w:val="0"/>
          <w:color w:val="000000"/>
          <w:sz w:val="20"/>
          <w:szCs w:val="20"/>
          <w:u w:val="none" w:color="000000"/>
          <w:rtl w:val="0"/>
          <w:lang w:val="es-ES_tradnl"/>
          <w14:textFill>
            <w14:solidFill>
              <w14:srgbClr w14:val="000000"/>
            </w14:solidFill>
          </w14:textFill>
        </w:rPr>
        <w:t>Resumo:</w:t>
      </w:r>
      <w:r>
        <w:rPr>
          <w:outline w:val="0"/>
          <w:color w:val="000000"/>
          <w:sz w:val="20"/>
          <w:szCs w:val="2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Atualmente muitas crian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ç</w:t>
      </w:r>
      <w:r>
        <w:rPr>
          <w:outline w:val="0"/>
          <w:color w:val="222222"/>
          <w:sz w:val="20"/>
          <w:szCs w:val="20"/>
          <w:u w:val="none" w:color="222222"/>
          <w:rtl w:val="0"/>
          <w:lang w:val="en-US"/>
          <w14:textFill>
            <w14:solidFill>
              <w14:srgbClr w14:val="222222"/>
            </w14:solidFill>
          </w14:textFill>
        </w:rPr>
        <w:t>as t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ê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m dificuldade ou desinteresse em rela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outline w:val="0"/>
          <w:color w:val="222222"/>
          <w:sz w:val="20"/>
          <w:szCs w:val="20"/>
          <w:u w:val="none" w:color="222222"/>
          <w:rtl w:val="0"/>
          <w14:textFill>
            <w14:solidFill>
              <w14:srgbClr w14:val="222222"/>
            </w14:solidFill>
          </w14:textFill>
        </w:rPr>
        <w:t xml:space="preserve">o 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à 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leitura. Alguns motivos podem ser levantados para se compreender o porqu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ê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, entre os quais a dificuldade de concentra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o. Entretanto, observamos em nossa pr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22222"/>
          <w:sz w:val="20"/>
          <w:szCs w:val="20"/>
          <w:u w:val="none" w:color="222222"/>
          <w:rtl w:val="0"/>
          <w:lang w:val="it-IT"/>
          <w14:textFill>
            <w14:solidFill>
              <w14:srgbClr w14:val="222222"/>
            </w14:solidFill>
          </w14:textFill>
        </w:rPr>
        <w:t>tica psicopedag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ó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gica que o texto teatral se tornou extremamente atraente para crian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ç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as desinteressadas pela leitura e pela escrita. O texto teatral traz o convite para o jogo, para a interpreta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o de pap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é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is. A partir do estudo dos textos de Vigotski (2021), pensamos o teatro como uma atividade que 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pode 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impulsionar o desenvolvimento humano com seus elementos de jogo e linguagem (escrita, oral e corporal) e contribuir para o processo de letramento da crian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ç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a. O objetivo da pesquisa 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é 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investigar </w:t>
      </w:r>
      <w:r>
        <w:rPr>
          <w:outline w:val="0"/>
          <w:color w:val="000000"/>
          <w:sz w:val="20"/>
          <w:szCs w:val="2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as rela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 entre drama e desenvolvimento humano 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identificando elementos do teatro na psicologia de Vigotski, mais precisamente a no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o de drama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; e verificar a possibilidade de a viv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ncia do teatro contribuir para o desenvolvimento de crian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as com dificuldades de aprendizagem. 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 Identificamos alguns elementos do teatro presentes na brincadeira de faz de conta. No ato de imaginar-se outro, imaginar situa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çõ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es e cen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rios para a brincadeira e no jogo com os outros. Para Vigotski (2021) a influ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ê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ncia da brincadeira no desenvolvimento da crian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ç</w:t>
      </w:r>
      <w:r>
        <w:rPr>
          <w:outline w:val="0"/>
          <w:color w:val="222222"/>
          <w:sz w:val="20"/>
          <w:szCs w:val="20"/>
          <w:u w:val="none" w:color="222222"/>
          <w:rtl w:val="0"/>
          <w14:textFill>
            <w14:solidFill>
              <w14:srgbClr w14:val="222222"/>
            </w14:solidFill>
          </w14:textFill>
        </w:rPr>
        <w:t xml:space="preserve">a 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é 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enorme. A brincadeira 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é 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uma reelabora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o criativa movida pelo impulso da crian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ç</w:t>
      </w:r>
      <w:r>
        <w:rPr>
          <w:outline w:val="0"/>
          <w:color w:val="222222"/>
          <w:sz w:val="20"/>
          <w:szCs w:val="20"/>
          <w:u w:val="none" w:color="222222"/>
          <w:rtl w:val="0"/>
          <w:lang w:val="es-ES_tradnl"/>
          <w14:textFill>
            <w14:solidFill>
              <w14:srgbClr w14:val="222222"/>
            </w14:solidFill>
          </w14:textFill>
        </w:rPr>
        <w:t>a de vivenciar algo que n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ã</w:t>
      </w:r>
      <w:r>
        <w:rPr>
          <w:outline w:val="0"/>
          <w:color w:val="222222"/>
          <w:sz w:val="20"/>
          <w:szCs w:val="20"/>
          <w:u w:val="none" w:color="222222"/>
          <w:rtl w:val="0"/>
          <w14:textFill>
            <w14:solidFill>
              <w14:srgbClr w14:val="222222"/>
            </w14:solidFill>
          </w14:textFill>
        </w:rPr>
        <w:t>o p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ô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de. Na situa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outline w:val="0"/>
          <w:color w:val="222222"/>
          <w:sz w:val="20"/>
          <w:szCs w:val="20"/>
          <w:u w:val="none" w:color="222222"/>
          <w:rtl w:val="0"/>
          <w:lang w:val="es-ES_tradnl"/>
          <w14:textFill>
            <w14:solidFill>
              <w14:srgbClr w14:val="222222"/>
            </w14:solidFill>
          </w14:textFill>
        </w:rPr>
        <w:t>o imagin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ria da brincadeira a crian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ç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a se liberta de amarras situacionais. O que a leva a brincar s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ã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o seus pensamentos, ideias, motiva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>çõ</w:t>
      </w:r>
      <w:r>
        <w:rPr>
          <w:outline w:val="0"/>
          <w:color w:val="222222"/>
          <w:sz w:val="20"/>
          <w:szCs w:val="20"/>
          <w:u w:val="none"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es internas. Na proposta </w:t>
      </w:r>
      <w:r>
        <w:rPr>
          <w:outline w:val="0"/>
          <w:color w:val="000000"/>
          <w:sz w:val="20"/>
          <w:szCs w:val="20"/>
          <w:u w:val="none" w:color="000000"/>
          <w:rtl w:val="0"/>
          <w14:textFill>
            <w14:solidFill>
              <w14:srgbClr w14:val="000000"/>
            </w14:solidFill>
          </w14:textFill>
        </w:rPr>
        <w:t>de periodiza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o de Vigotski  (2006) a passagem de uma fase para a seguinte se d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por meio de um conflito ou drama. Trata-se de uma concep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sz w:val="20"/>
          <w:szCs w:val="20"/>
          <w:u w:val="none" w:color="000000"/>
          <w:rtl w:val="0"/>
          <w14:textFill>
            <w14:solidFill>
              <w14:srgbClr w14:val="000000"/>
            </w14:solidFill>
          </w14:textFill>
        </w:rPr>
        <w:t>o n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o-linear do desenvolvimento humano, no qual poder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haver avan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os e retrocessos. Em sua vis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o dial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0"/>
          <w:szCs w:val="20"/>
          <w:u w:val="non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tica, 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o drama que move o desenvolvimento humano. A pesquisa est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em andamento. </w:t>
      </w:r>
      <w:r>
        <w:rPr>
          <w:sz w:val="20"/>
          <w:szCs w:val="20"/>
          <w:rtl w:val="0"/>
          <w:lang w:val="pt-PT"/>
        </w:rPr>
        <w:t xml:space="preserve">A primeira etapa </w:t>
      </w:r>
      <w:r>
        <w:rPr>
          <w:sz w:val="20"/>
          <w:szCs w:val="20"/>
          <w:rtl w:val="0"/>
          <w:lang w:val="pt-PT"/>
        </w:rPr>
        <w:t xml:space="preserve">é </w:t>
      </w:r>
      <w:r>
        <w:rPr>
          <w:sz w:val="20"/>
          <w:szCs w:val="20"/>
          <w:rtl w:val="0"/>
          <w:lang w:val="pt-PT"/>
        </w:rPr>
        <w:t>uma pesquisa bibliogr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fica para investigar o conceito de drama na obra de Vigotski, tanto em suas resenhas teatrais e textos sobre arte, teatro e cria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o, como em seus trabalhos sobre o desenvolvimento humano. Na segunda etapa desenvolverei uma pesquisa-interven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 (CASTRO, 2008) com crian</w:t>
      </w:r>
      <w:r>
        <w:rPr>
          <w:sz w:val="20"/>
          <w:szCs w:val="20"/>
          <w:rtl w:val="0"/>
          <w:lang w:val="pt-PT"/>
        </w:rPr>
        <w:t>ç</w:t>
      </w:r>
      <w:r>
        <w:rPr>
          <w:sz w:val="20"/>
          <w:szCs w:val="20"/>
          <w:rtl w:val="0"/>
          <w:lang w:val="pt-PT"/>
        </w:rPr>
        <w:t>as que apresentem dificuldades de aprendizagem nos anos iniciais do ensino fundamental  em uma escola p</w:t>
      </w:r>
      <w:r>
        <w:rPr>
          <w:sz w:val="20"/>
          <w:szCs w:val="20"/>
          <w:rtl w:val="0"/>
          <w:lang w:val="pt-PT"/>
        </w:rPr>
        <w:t>ú</w:t>
      </w:r>
      <w:r>
        <w:rPr>
          <w:sz w:val="20"/>
          <w:szCs w:val="20"/>
          <w:rtl w:val="0"/>
          <w:lang w:val="pt-PT"/>
        </w:rPr>
        <w:t>blica. A interven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 consistir</w:t>
      </w:r>
      <w:r>
        <w:rPr>
          <w:sz w:val="20"/>
          <w:szCs w:val="20"/>
          <w:rtl w:val="0"/>
          <w:lang w:val="pt-PT"/>
        </w:rPr>
        <w:t xml:space="preserve">á </w:t>
      </w:r>
      <w:r>
        <w:rPr>
          <w:sz w:val="20"/>
          <w:szCs w:val="20"/>
          <w:rtl w:val="0"/>
          <w:lang w:val="pt-PT"/>
        </w:rPr>
        <w:t xml:space="preserve">em oficinas teatrais que permitam </w:t>
      </w:r>
      <w:r>
        <w:rPr>
          <w:sz w:val="20"/>
          <w:szCs w:val="20"/>
          <w:rtl w:val="0"/>
          <w:lang w:val="pt-PT"/>
        </w:rPr>
        <w:t>à</w:t>
      </w:r>
      <w:r>
        <w:rPr>
          <w:sz w:val="20"/>
          <w:szCs w:val="20"/>
          <w:rtl w:val="0"/>
          <w:lang w:val="pt-PT"/>
        </w:rPr>
        <w:t>s crian</w:t>
      </w:r>
      <w:r>
        <w:rPr>
          <w:sz w:val="20"/>
          <w:szCs w:val="20"/>
          <w:rtl w:val="0"/>
          <w:lang w:val="pt-PT"/>
        </w:rPr>
        <w:t>ç</w:t>
      </w:r>
      <w:r>
        <w:rPr>
          <w:sz w:val="20"/>
          <w:szCs w:val="20"/>
          <w:rtl w:val="0"/>
          <w:lang w:val="pt-PT"/>
        </w:rPr>
        <w:t>as a viv</w:t>
      </w:r>
      <w:r>
        <w:rPr>
          <w:sz w:val="20"/>
          <w:szCs w:val="20"/>
          <w:rtl w:val="0"/>
          <w:lang w:val="pt-PT"/>
        </w:rPr>
        <w:t>ê</w:t>
      </w:r>
      <w:r>
        <w:rPr>
          <w:sz w:val="20"/>
          <w:szCs w:val="20"/>
          <w:rtl w:val="0"/>
          <w:lang w:val="pt-PT"/>
        </w:rPr>
        <w:t>ncia do teatro em grupo atrav</w:t>
      </w:r>
      <w:r>
        <w:rPr>
          <w:sz w:val="20"/>
          <w:szCs w:val="20"/>
          <w:rtl w:val="0"/>
          <w:lang w:val="pt-PT"/>
        </w:rPr>
        <w:t>é</w:t>
      </w:r>
      <w:r>
        <w:rPr>
          <w:sz w:val="20"/>
          <w:szCs w:val="20"/>
          <w:rtl w:val="0"/>
          <w:lang w:val="pt-PT"/>
        </w:rPr>
        <w:t>s de jogos teatrais, cria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 oral, escrita e dramatiza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 de cenas e est</w:t>
      </w:r>
      <w:r>
        <w:rPr>
          <w:sz w:val="20"/>
          <w:szCs w:val="20"/>
          <w:rtl w:val="0"/>
          <w:lang w:val="pt-PT"/>
        </w:rPr>
        <w:t>ó</w:t>
      </w:r>
      <w:r>
        <w:rPr>
          <w:sz w:val="20"/>
          <w:szCs w:val="20"/>
          <w:rtl w:val="0"/>
          <w:lang w:val="pt-PT"/>
        </w:rPr>
        <w:t>rias.</w:t>
      </w:r>
    </w:p>
    <w:p>
      <w:pPr>
        <w:pStyle w:val="Corpo A"/>
        <w:jc w:val="both"/>
        <w:rPr>
          <w:sz w:val="20"/>
          <w:szCs w:val="20"/>
        </w:rPr>
      </w:pPr>
    </w:p>
    <w:p>
      <w:pPr>
        <w:pStyle w:val="Corpo A"/>
        <w:jc w:val="both"/>
        <w:rPr>
          <w:sz w:val="20"/>
          <w:szCs w:val="20"/>
        </w:rPr>
      </w:pPr>
      <w:r>
        <w:rPr>
          <w:b w:val="1"/>
          <w:bCs w:val="1"/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Palavras-chave: 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Drama. Teatro. Leitura. </w:t>
      </w:r>
    </w:p>
    <w:p>
      <w:pPr>
        <w:pStyle w:val="Corpo A"/>
        <w:jc w:val="both"/>
        <w:rPr>
          <w:sz w:val="20"/>
          <w:szCs w:val="20"/>
        </w:rPr>
      </w:pPr>
    </w:p>
    <w:p>
      <w:pPr>
        <w:pStyle w:val="Corpo A"/>
        <w:jc w:val="both"/>
      </w:pPr>
    </w:p>
    <w:p>
      <w:pPr>
        <w:pStyle w:val="Corpo A"/>
        <w:jc w:val="both"/>
        <w:rPr>
          <w:b w:val="1"/>
          <w:bCs w:val="1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Refer</w:t>
      </w:r>
      <w:r>
        <w:rPr>
          <w:b w:val="1"/>
          <w:bCs w:val="1"/>
          <w:outline w:val="0"/>
          <w:color w:val="000000"/>
          <w:sz w:val="24"/>
          <w:szCs w:val="24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b w:val="1"/>
          <w:bCs w:val="1"/>
          <w:outline w:val="0"/>
          <w:color w:val="000000"/>
          <w:sz w:val="24"/>
          <w:szCs w:val="24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ncias Bibliogr</w:t>
      </w:r>
      <w:r>
        <w:rPr>
          <w:b w:val="1"/>
          <w:bCs w:val="1"/>
          <w:outline w:val="0"/>
          <w:color w:val="000000"/>
          <w:sz w:val="24"/>
          <w:szCs w:val="24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outline w:val="0"/>
          <w:color w:val="000000"/>
          <w:sz w:val="24"/>
          <w:szCs w:val="24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ficas</w:t>
      </w:r>
    </w:p>
    <w:p>
      <w:pPr>
        <w:pStyle w:val="Corpo A"/>
        <w:jc w:val="both"/>
        <w:rPr>
          <w:b w:val="1"/>
          <w:bCs w:val="1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Padrã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0" w:line="360" w:lineRule="auto"/>
        <w:jc w:val="both"/>
        <w:rPr>
          <w:rFonts w:ascii="Arial" w:cs="Arial" w:hAnsi="Arial" w:eastAsia="Arial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CASTRO, Lucia Rabello de. 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Conhecer, transformar (-se) e aprender: </w:t>
      </w:r>
      <w:r>
        <w:rPr>
          <w:rFonts w:ascii="Arial" w:hAnsi="Arial"/>
          <w:sz w:val="20"/>
          <w:szCs w:val="20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pesquisando com crian</w:t>
      </w:r>
      <w:r>
        <w:rPr>
          <w:rFonts w:ascii="Arial" w:hAnsi="Arial" w:hint="default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ç</w:t>
      </w:r>
      <w:r>
        <w:rPr>
          <w:rFonts w:ascii="Arial" w:hAnsi="Arial"/>
          <w:sz w:val="20"/>
          <w:szCs w:val="20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as e jovens. In: Pesquisa-interven</w:t>
      </w:r>
      <w:r>
        <w:rPr>
          <w:rFonts w:ascii="Arial" w:hAnsi="Arial" w:hint="default"/>
          <w:sz w:val="20"/>
          <w:szCs w:val="20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Arial" w:hAnsi="Arial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o na inf</w:t>
      </w:r>
      <w:r>
        <w:rPr>
          <w:rFonts w:ascii="Arial" w:hAnsi="Arial" w:hint="default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â</w:t>
      </w:r>
      <w:r>
        <w:rPr>
          <w:rFonts w:ascii="Arial" w:hAnsi="Arial"/>
          <w:sz w:val="20"/>
          <w:szCs w:val="20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ncia e juventude. CASTRO, Lucia Rabello de; BESSET, Vera Lopes (orgs). Rio de Janeiro: Trarepa / FAPERJ, 2008.</w:t>
      </w:r>
    </w:p>
    <w:p>
      <w:pPr>
        <w:pStyle w:val="Corpo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line="360" w:lineRule="auto"/>
        <w:jc w:val="both"/>
        <w:rPr>
          <w:sz w:val="20"/>
          <w:szCs w:val="20"/>
        </w:rPr>
      </w:pPr>
      <w:r>
        <w:rPr>
          <w:outline w:val="0"/>
          <w:color w:val="000000"/>
          <w:sz w:val="20"/>
          <w:szCs w:val="2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VIGOTSKI, Lev Semionovitch. </w:t>
      </w:r>
      <w:r>
        <w:rPr>
          <w:b w:val="1"/>
          <w:bCs w:val="1"/>
          <w:outline w:val="0"/>
          <w:color w:val="000000"/>
          <w:sz w:val="20"/>
          <w:szCs w:val="20"/>
          <w:u w:val="none" w:color="000000"/>
          <w:rtl w:val="0"/>
          <w:lang w:val="it-IT"/>
          <w14:textFill>
            <w14:solidFill>
              <w14:srgbClr w14:val="000000"/>
            </w14:solidFill>
          </w14:textFill>
        </w:rPr>
        <w:t>Psicologia, educa</w:t>
      </w:r>
      <w:r>
        <w:rPr>
          <w:b w:val="1"/>
          <w:bCs w:val="1"/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b w:val="1"/>
          <w:bCs w:val="1"/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e desenvolvimento: 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escritos de L. S. Vigotski; organiza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sz w:val="20"/>
          <w:szCs w:val="20"/>
          <w:u w:val="none" w:color="000000"/>
          <w:rtl w:val="0"/>
          <w:lang w:val="it-IT"/>
          <w14:textFill>
            <w14:solidFill>
              <w14:srgbClr w14:val="000000"/>
            </w14:solidFill>
          </w14:textFill>
        </w:rPr>
        <w:t>o e tradu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o de Zoia Prestes e Elizabeth Tunes. S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o Paulo: Express</w:t>
      </w:r>
      <w:r>
        <w:rPr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sz w:val="20"/>
          <w:szCs w:val="20"/>
          <w:u w:val="none" w:color="000000"/>
          <w:rtl w:val="0"/>
          <w14:textFill>
            <w14:solidFill>
              <w14:srgbClr w14:val="000000"/>
            </w14:solidFill>
          </w14:textFill>
        </w:rPr>
        <w:t>o Popular, 2021</w:t>
      </w:r>
      <w:r>
        <w:rPr>
          <w:b w:val="1"/>
          <w:bCs w:val="1"/>
          <w:outline w:val="0"/>
          <w:color w:val="000000"/>
          <w:sz w:val="20"/>
          <w:szCs w:val="20"/>
          <w:u w:val="none"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Corpo A"/>
        <w:jc w:val="both"/>
      </w:pPr>
      <w:r>
        <w:rPr>
          <w:b w:val="1"/>
          <w:bCs w:val="1"/>
          <w:outline w:val="0"/>
          <w:color w:val="000000"/>
          <w:sz w:val="20"/>
          <w:szCs w:val="2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_______. El problema de la edad. </w:t>
      </w:r>
      <w:r>
        <w:rPr>
          <w:outline w:val="0"/>
          <w:color w:val="000000"/>
          <w:sz w:val="20"/>
          <w:szCs w:val="20"/>
          <w:u w:val="none" w:color="000000"/>
          <w:rtl w:val="0"/>
          <w:lang w:val="es-ES_tradnl"/>
          <w14:textFill>
            <w14:solidFill>
              <w14:srgbClr w14:val="000000"/>
            </w14:solidFill>
          </w14:textFill>
        </w:rPr>
        <w:t>In: Obras Escogidas, tomo IV. Madrid: A. Machado  Libros, S.A., 2006.</w:t>
      </w:r>
    </w:p>
    <w:sectPr>
      <w:headerReference w:type="default" r:id="rId4"/>
      <w:footerReference w:type="default" r:id="rId5"/>
      <w:pgSz w:w="11900" w:h="16840" w:orient="portrait"/>
      <w:pgMar w:top="1417" w:right="1133" w:bottom="1417" w:left="1417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Roboto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LO-normal"/>
      <w:tabs>
        <w:tab w:val="center" w:pos="4252"/>
        <w:tab w:val="right" w:pos="8504"/>
      </w:tabs>
      <w:spacing w:line="240" w:lineRule="auto"/>
      <w:jc w:val="right"/>
      <w:rPr>
        <w:outline w:val="0"/>
        <w:color w:val="000000"/>
        <w:u w:color="000000"/>
        <w14:textFill>
          <w14:solidFill>
            <w14:srgbClr w14:val="000000"/>
          </w14:solidFill>
        </w14:textFill>
      </w:rPr>
    </w:pPr>
  </w:p>
  <w:p>
    <w:pPr>
      <w:pStyle w:val="LO-normal"/>
      <w:jc w:val="center"/>
      <w:rPr>
        <w:rFonts w:ascii="Roboto" w:cs="Roboto" w:hAnsi="Roboto" w:eastAsia="Roboto"/>
        <w:outline w:val="0"/>
        <w:color w:val="000000"/>
        <w:sz w:val="16"/>
        <w:szCs w:val="16"/>
        <w:u w:color="000000"/>
        <w:shd w:val="clear" w:color="auto" w:fill="ffffff"/>
        <w14:textFill>
          <w14:solidFill>
            <w14:srgbClr w14:val="000000"/>
          </w14:solidFill>
        </w14:textFill>
      </w:rPr>
    </w:pPr>
    <w:r>
      <w:rPr>
        <w:rFonts w:ascii="Roboto" w:cs="Roboto" w:hAnsi="Roboto" w:eastAsia="Roboto"/>
        <w:sz w:val="16"/>
        <w:szCs w:val="16"/>
        <w:shd w:val="clear" w:color="auto" w:fill="ffffff"/>
        <w:rtl w:val="0"/>
        <w:lang w:val="pt-PT"/>
      </w:rPr>
      <w:t xml:space="preserve">VII </w:t>
    </w:r>
    <w:r>
      <w:rPr>
        <w:rFonts w:ascii="Roboto" w:cs="Roboto" w:hAnsi="Roboto" w:eastAsia="Roboto"/>
        <w:outline w:val="0"/>
        <w:color w:val="000000"/>
        <w:sz w:val="16"/>
        <w:szCs w:val="16"/>
        <w:u w:color="000000"/>
        <w:shd w:val="clear" w:color="auto" w:fill="ffffff"/>
        <w:rtl w:val="0"/>
        <w:lang w:val="pt-PT"/>
        <w14:textFill>
          <w14:solidFill>
            <w14:srgbClr w14:val="000000"/>
          </w14:solidFill>
        </w14:textFill>
      </w:rPr>
      <w:t>Semin</w:t>
    </w:r>
    <w:r>
      <w:rPr>
        <w:rFonts w:ascii="Roboto" w:cs="Roboto" w:hAnsi="Roboto" w:eastAsia="Roboto"/>
        <w:outline w:val="0"/>
        <w:color w:val="000000"/>
        <w:sz w:val="16"/>
        <w:szCs w:val="16"/>
        <w:u w:color="000000"/>
        <w:shd w:val="clear" w:color="auto" w:fill="ffffff"/>
        <w:rtl w:val="0"/>
        <w:lang w:val="pt-PT"/>
        <w14:textFill>
          <w14:solidFill>
            <w14:srgbClr w14:val="000000"/>
          </w14:solidFill>
        </w14:textFill>
      </w:rPr>
      <w:t>á</w:t>
    </w:r>
    <w:r>
      <w:rPr>
        <w:rFonts w:ascii="Roboto" w:cs="Roboto" w:hAnsi="Roboto" w:eastAsia="Roboto"/>
        <w:outline w:val="0"/>
        <w:color w:val="000000"/>
        <w:sz w:val="16"/>
        <w:szCs w:val="16"/>
        <w:u w:color="000000"/>
        <w:shd w:val="clear" w:color="auto" w:fill="ffffff"/>
        <w:rtl w:val="0"/>
        <w:lang w:val="pt-PT"/>
        <w14:textFill>
          <w14:solidFill>
            <w14:srgbClr w14:val="000000"/>
          </w14:solidFill>
        </w14:textFill>
      </w:rPr>
      <w:t xml:space="preserve">rio Discente PPGEDU </w:t>
    </w:r>
    <w:r>
      <w:rPr>
        <w:rFonts w:ascii="Roboto" w:cs="Roboto" w:hAnsi="Roboto" w:eastAsia="Roboto"/>
        <w:outline w:val="0"/>
        <w:color w:val="000000"/>
        <w:sz w:val="16"/>
        <w:szCs w:val="16"/>
        <w:u w:color="000000"/>
        <w:shd w:val="clear" w:color="auto" w:fill="ffffff"/>
        <w:rtl w:val="0"/>
        <w:lang w:val="pt-PT"/>
        <w14:textFill>
          <w14:solidFill>
            <w14:srgbClr w14:val="000000"/>
          </w14:solidFill>
        </w14:textFill>
      </w:rPr>
      <w:t xml:space="preserve">– </w:t>
    </w:r>
    <w:r>
      <w:rPr>
        <w:rFonts w:ascii="Roboto" w:cs="Roboto" w:hAnsi="Roboto" w:eastAsia="Roboto"/>
        <w:outline w:val="0"/>
        <w:color w:val="000000"/>
        <w:sz w:val="16"/>
        <w:szCs w:val="16"/>
        <w:u w:color="000000"/>
        <w:shd w:val="clear" w:color="auto" w:fill="ffffff"/>
        <w:rtl w:val="0"/>
        <w:lang w:val="pt-PT"/>
        <w14:textFill>
          <w14:solidFill>
            <w14:srgbClr w14:val="000000"/>
          </w14:solidFill>
        </w14:textFill>
      </w:rPr>
      <w:t xml:space="preserve">Universidade Federal Fluminense </w:t>
    </w:r>
  </w:p>
  <w:p>
    <w:pPr>
      <w:pStyle w:val="LO-normal"/>
      <w:jc w:val="center"/>
      <w:rPr>
        <w:rFonts w:ascii="Roboto" w:cs="Roboto" w:hAnsi="Roboto" w:eastAsia="Roboto"/>
        <w:sz w:val="16"/>
        <w:szCs w:val="16"/>
        <w:shd w:val="clear" w:color="auto" w:fill="ffffff"/>
      </w:rPr>
    </w:pPr>
    <w:r>
      <w:rPr>
        <w:rFonts w:ascii="Roboto" w:cs="Roboto" w:hAnsi="Roboto" w:eastAsia="Roboto"/>
        <w:sz w:val="16"/>
        <w:szCs w:val="16"/>
        <w:shd w:val="clear" w:color="auto" w:fill="ffffff"/>
        <w:rtl w:val="0"/>
        <w:lang w:val="pt-PT"/>
      </w:rPr>
      <w:t>10 Anos da Lei de Cotas: Acesso e Perman</w:t>
    </w:r>
    <w:r>
      <w:rPr>
        <w:rFonts w:ascii="Roboto" w:cs="Roboto" w:hAnsi="Roboto" w:eastAsia="Roboto"/>
        <w:sz w:val="16"/>
        <w:szCs w:val="16"/>
        <w:shd w:val="clear" w:color="auto" w:fill="ffffff"/>
        <w:rtl w:val="0"/>
        <w:lang w:val="pt-PT"/>
      </w:rPr>
      <w:t>ê</w:t>
    </w:r>
    <w:r>
      <w:rPr>
        <w:rFonts w:ascii="Roboto" w:cs="Roboto" w:hAnsi="Roboto" w:eastAsia="Roboto"/>
        <w:sz w:val="16"/>
        <w:szCs w:val="16"/>
        <w:shd w:val="clear" w:color="auto" w:fill="ffffff"/>
        <w:rtl w:val="0"/>
        <w:lang w:val="pt-PT"/>
      </w:rPr>
      <w:t xml:space="preserve">ncia na Universidade </w:t>
    </w:r>
  </w:p>
  <w:p>
    <w:pPr>
      <w:pStyle w:val="LO-normal"/>
      <w:jc w:val="center"/>
    </w:pPr>
    <w:r>
      <w:rPr>
        <w:rFonts w:ascii="Roboto" w:cs="Roboto" w:hAnsi="Roboto" w:eastAsia="Roboto"/>
        <w:outline w:val="0"/>
        <w:color w:val="000000"/>
        <w:sz w:val="16"/>
        <w:szCs w:val="16"/>
        <w:u w:color="000000"/>
        <w:shd w:val="clear" w:color="auto" w:fill="ffffff"/>
        <w:rtl w:val="0"/>
        <w:lang w:val="pt-PT"/>
        <w14:textFill>
          <w14:solidFill>
            <w14:srgbClr w14:val="000000"/>
          </w14:solidFill>
        </w14:textFill>
      </w:rPr>
      <w:t>Niter</w:t>
    </w:r>
    <w:r>
      <w:rPr>
        <w:rFonts w:ascii="Roboto" w:cs="Roboto" w:hAnsi="Roboto" w:eastAsia="Roboto"/>
        <w:outline w:val="0"/>
        <w:color w:val="000000"/>
        <w:sz w:val="16"/>
        <w:szCs w:val="16"/>
        <w:u w:color="000000"/>
        <w:shd w:val="clear" w:color="auto" w:fill="ffffff"/>
        <w:rtl w:val="0"/>
        <w:lang w:val="pt-PT"/>
        <w14:textFill>
          <w14:solidFill>
            <w14:srgbClr w14:val="000000"/>
          </w14:solidFill>
        </w14:textFill>
      </w:rPr>
      <w:t>ó</w:t>
    </w:r>
    <w:r>
      <w:rPr>
        <w:rFonts w:ascii="Roboto" w:cs="Roboto" w:hAnsi="Roboto" w:eastAsia="Roboto"/>
        <w:outline w:val="0"/>
        <w:color w:val="000000"/>
        <w:sz w:val="16"/>
        <w:szCs w:val="16"/>
        <w:u w:color="000000"/>
        <w:shd w:val="clear" w:color="auto" w:fill="ffffff"/>
        <w:rtl w:val="0"/>
        <w:lang w:val="pt-PT"/>
        <w14:textFill>
          <w14:solidFill>
            <w14:srgbClr w14:val="000000"/>
          </w14:solidFill>
        </w14:textFill>
      </w:rPr>
      <w:t xml:space="preserve">i </w:t>
    </w:r>
    <w:r>
      <w:rPr>
        <w:rFonts w:ascii="Roboto" w:cs="Roboto" w:hAnsi="Roboto" w:eastAsia="Roboto"/>
        <w:outline w:val="0"/>
        <w:color w:val="000000"/>
        <w:sz w:val="16"/>
        <w:szCs w:val="16"/>
        <w:u w:color="000000"/>
        <w:shd w:val="clear" w:color="auto" w:fill="ffffff"/>
        <w:rtl w:val="0"/>
        <w:lang w:val="pt-PT"/>
        <w14:textFill>
          <w14:solidFill>
            <w14:srgbClr w14:val="000000"/>
          </w14:solidFill>
        </w14:textFill>
      </w:rPr>
      <w:t xml:space="preserve">– </w:t>
    </w:r>
    <w:r>
      <w:rPr>
        <w:rFonts w:ascii="Roboto" w:cs="Roboto" w:hAnsi="Roboto" w:eastAsia="Roboto"/>
        <w:outline w:val="0"/>
        <w:color w:val="000000"/>
        <w:sz w:val="16"/>
        <w:szCs w:val="16"/>
        <w:u w:color="000000"/>
        <w:shd w:val="clear" w:color="auto" w:fill="ffffff"/>
        <w:rtl w:val="0"/>
        <w:lang w:val="pt-PT"/>
        <w14:textFill>
          <w14:solidFill>
            <w14:srgbClr w14:val="000000"/>
          </w14:solidFill>
        </w14:textFill>
      </w:rPr>
      <w:t>RJ, 30 de novembro, 1 e 2 de dezembro de 20</w:t>
    </w:r>
    <w:r>
      <w:rPr>
        <w:rFonts w:ascii="Roboto" w:cs="Roboto" w:hAnsi="Roboto" w:eastAsia="Roboto"/>
        <w:sz w:val="16"/>
        <w:szCs w:val="16"/>
        <w:shd w:val="clear" w:color="auto" w:fill="ffffff"/>
        <w:rtl w:val="0"/>
        <w:lang w:val="pt-PT"/>
      </w:rPr>
      <w:t>2</w:t>
    </w:r>
    <w:r>
      <w:rPr>
        <w:rFonts w:ascii="Roboto" w:cs="Roboto" w:hAnsi="Roboto" w:eastAsia="Roboto"/>
        <w:sz w:val="16"/>
        <w:szCs w:val="16"/>
        <w:rtl w:val="0"/>
        <w:lang w:val="pt-PT"/>
      </w:rPr>
      <w:t>2</w:t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Corpo A"/>
      </w:pPr>
      <w:r>
        <w:rPr>
          <w:i w:val="1"/>
          <w:iCs w:val="1"/>
          <w:outline w:val="0"/>
          <w:color w:val="000000"/>
          <w:sz w:val="24"/>
          <w:szCs w:val="24"/>
          <w:u w:val="none"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Helvetica Neue" w:hAnsi="Helvetica Neue"/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 Neue" w:hAnsi="Helvetica Neue"/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Psicopedagoga, m</w:t>
      </w:r>
      <w:r>
        <w:rPr>
          <w:rFonts w:ascii="Helvetica Neue" w:hAnsi="Helvetica Neue"/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estre em Educa</w:t>
      </w:r>
      <w:r>
        <w:rPr>
          <w:rFonts w:ascii="Helvetica Neue" w:hAnsi="Helvetica Neue" w:hint="default"/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Helvetica Neue" w:hAnsi="Helvetica Neue"/>
          <w:outline w:val="0"/>
          <w:color w:val="000000"/>
          <w:sz w:val="20"/>
          <w:szCs w:val="2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o e doutoranda do PPGE - Universidade Federal Fluminense / e-mail: betycorrea@id.uff.br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LO-normal"/>
      <w:jc w:val="center"/>
    </w:pPr>
    <w:r>
      <w:drawing xmlns:a="http://schemas.openxmlformats.org/drawingml/2006/main">
        <wp:inline distT="0" distB="0" distL="0" distR="0">
          <wp:extent cx="5892166" cy="1190625"/>
          <wp:effectExtent l="0" t="0" r="0" b="0"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24405" r="0" b="55394"/>
                  <a:stretch>
                    <a:fillRect/>
                  </a:stretch>
                </pic:blipFill>
                <pic:spPr>
                  <a:xfrm>
                    <a:off x="0" y="0"/>
                    <a:ext cx="5892166" cy="1190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LO-normal">
    <w:name w:val="LO-normal"/>
    <w:next w:val="LO-norma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