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F8EA4" w14:textId="398D24B8" w:rsidR="006B54B2" w:rsidRDefault="006B54B2" w:rsidP="006B54B2">
      <w:pPr>
        <w:pStyle w:val="LO-normal"/>
        <w:jc w:val="center"/>
        <w:rPr>
          <w:b/>
          <w:color w:val="000000"/>
          <w:sz w:val="28"/>
          <w:szCs w:val="28"/>
        </w:rPr>
      </w:pPr>
      <w:r>
        <w:rPr>
          <w:b/>
          <w:color w:val="000000"/>
          <w:sz w:val="26"/>
          <w:szCs w:val="26"/>
        </w:rPr>
        <w:t>DESIGUALDADE DE ACESSO À EDUCAÇÃO SUPERIOR EM TEMPOS DE CRISES POLÍTICA, ECONÔMICA E DE SAÚDE: DAS TENDÊNCIAS ANTERIORES ÀS TRANSFORMAÇÕES ASSOCIADAS À PANDEMIA DE COVID-19</w:t>
      </w:r>
    </w:p>
    <w:p w14:paraId="1FBFF961" w14:textId="1A9D381D" w:rsidR="00691727" w:rsidRDefault="002D44D2">
      <w:pPr>
        <w:pStyle w:val="LO-normal"/>
        <w:jc w:val="center"/>
        <w:rPr>
          <w:b/>
          <w:color w:val="000000"/>
          <w:sz w:val="28"/>
          <w:szCs w:val="28"/>
        </w:rPr>
      </w:pPr>
      <w:r>
        <w:rPr>
          <w:b/>
          <w:color w:val="000000"/>
          <w:sz w:val="28"/>
          <w:szCs w:val="28"/>
        </w:rPr>
        <w:t xml:space="preserve"> </w:t>
      </w:r>
    </w:p>
    <w:p w14:paraId="7F10D1CD" w14:textId="1819492B" w:rsidR="006B54B2" w:rsidRDefault="006B54B2">
      <w:pPr>
        <w:pStyle w:val="LO-normal"/>
        <w:jc w:val="right"/>
        <w:rPr>
          <w:i/>
          <w:color w:val="000000"/>
          <w:sz w:val="24"/>
          <w:szCs w:val="24"/>
        </w:rPr>
      </w:pPr>
      <w:r>
        <w:rPr>
          <w:i/>
          <w:color w:val="000000"/>
          <w:sz w:val="24"/>
          <w:szCs w:val="24"/>
        </w:rPr>
        <w:t>Alexandre Ramos de Azevedo</w:t>
      </w:r>
      <w:r>
        <w:rPr>
          <w:rStyle w:val="Refdenotaderodap"/>
          <w:i/>
          <w:color w:val="000000"/>
          <w:sz w:val="24"/>
          <w:szCs w:val="24"/>
        </w:rPr>
        <w:footnoteReference w:id="1"/>
      </w:r>
    </w:p>
    <w:p w14:paraId="42A18CC8" w14:textId="77777777" w:rsidR="00691727" w:rsidRDefault="00691727">
      <w:pPr>
        <w:pStyle w:val="LO-normal"/>
        <w:jc w:val="both"/>
        <w:rPr>
          <w:color w:val="000000"/>
          <w:sz w:val="24"/>
          <w:szCs w:val="24"/>
        </w:rPr>
      </w:pPr>
    </w:p>
    <w:p w14:paraId="740A373E" w14:textId="4E2F05F3" w:rsidR="003112DA" w:rsidRPr="006B54B2" w:rsidRDefault="003112DA" w:rsidP="003112DA">
      <w:pPr>
        <w:pStyle w:val="LO-normal"/>
        <w:jc w:val="both"/>
        <w:rPr>
          <w:color w:val="000000"/>
          <w:sz w:val="20"/>
          <w:szCs w:val="20"/>
        </w:rPr>
      </w:pPr>
      <w:r>
        <w:rPr>
          <w:b/>
          <w:color w:val="000000"/>
          <w:sz w:val="20"/>
          <w:szCs w:val="20"/>
        </w:rPr>
        <w:t>Resumo:</w:t>
      </w:r>
      <w:r>
        <w:rPr>
          <w:color w:val="000000"/>
          <w:sz w:val="20"/>
          <w:szCs w:val="20"/>
        </w:rPr>
        <w:t xml:space="preserve"> </w:t>
      </w:r>
      <w:r w:rsidRPr="00A11F6E">
        <w:rPr>
          <w:color w:val="000000"/>
          <w:sz w:val="20"/>
          <w:szCs w:val="20"/>
        </w:rPr>
        <w:t>A educação superior brasileira é marcada por profundas desigualdades, que vinham reduzindo nas últimas duas décadas. A partir de 2015, duas crises se seguiram: a primeira no triênio 2015-2017; a segunda relacionada à Pandemia de Covid-19, a partir de 2020. Esta investigação, referenciada na sociologia das desigualdades de oportunidades educacionais (BOURDIEU; PASSERON, 201</w:t>
      </w:r>
      <w:r>
        <w:rPr>
          <w:color w:val="000000"/>
          <w:sz w:val="20"/>
          <w:szCs w:val="20"/>
        </w:rPr>
        <w:t>4; 201</w:t>
      </w:r>
      <w:r w:rsidR="00CA3365">
        <w:rPr>
          <w:color w:val="000000"/>
          <w:sz w:val="20"/>
          <w:szCs w:val="20"/>
        </w:rPr>
        <w:t>8</w:t>
      </w:r>
      <w:r w:rsidRPr="00A11F6E">
        <w:rPr>
          <w:color w:val="000000"/>
          <w:sz w:val="20"/>
          <w:szCs w:val="20"/>
        </w:rPr>
        <w:t xml:space="preserve">), desenvolve uma análise quantitativa exploratória dos dados produzidos pelo INEP – através do ENEM e de seus Censos – visando responder a perguntas-problemas, dentre as quais: I. Houve aumento na desigualdade de acesso à educação superior em decorrência das crises? II. Qual a contribuição do ENEM para um possível aumento na desigualdade de acesso? Os resultados das análises indicaram que: (a) as crises impactaram a educação superior, mas de forma diferente nos segmentos público e privado e nas modalidades presencial e EaD; (b) houve redução acentuada no número de participantes do ENEM, além de mudanças no perfil de seus participantes, as quais podem ser relacionadas às crises; (c) as desigualdades quanto aos estudantes que cursaram o ensino médio em escolas públicas e as pessoas negras, seja em sua participação no ENEM ou no acesso às vagas da educação superior, aparentemente não seguiram o roteiro das crises, tendo havido redução das desigualdades principalmente durante a primeira das crises; (d) o ENEM parece ter contribuído tanto para amortecer os efeitos das crises quanto para reduzir as desigualdades de acesso às vagas públicas presenciais, onde funciona como principal porta de acesso. Por fim, considerou-se a necessidade de se investigar melhor os impactos isolados do SISU </w:t>
      </w:r>
      <w:r w:rsidR="006C04EA">
        <w:rPr>
          <w:color w:val="000000"/>
          <w:sz w:val="20"/>
          <w:szCs w:val="20"/>
        </w:rPr>
        <w:t xml:space="preserve">em relação ao ENEM </w:t>
      </w:r>
      <w:r w:rsidRPr="00A11F6E">
        <w:rPr>
          <w:color w:val="000000"/>
          <w:sz w:val="20"/>
          <w:szCs w:val="20"/>
        </w:rPr>
        <w:t>e</w:t>
      </w:r>
      <w:r w:rsidR="006C04EA">
        <w:rPr>
          <w:color w:val="000000"/>
          <w:sz w:val="20"/>
          <w:szCs w:val="20"/>
        </w:rPr>
        <w:t>,</w:t>
      </w:r>
      <w:r w:rsidRPr="00A11F6E">
        <w:rPr>
          <w:color w:val="000000"/>
          <w:sz w:val="20"/>
          <w:szCs w:val="20"/>
        </w:rPr>
        <w:t xml:space="preserve"> </w:t>
      </w:r>
      <w:r w:rsidR="006C04EA">
        <w:rPr>
          <w:color w:val="000000"/>
          <w:sz w:val="20"/>
          <w:szCs w:val="20"/>
        </w:rPr>
        <w:t>por outro lado,</w:t>
      </w:r>
      <w:r w:rsidRPr="00A11F6E">
        <w:rPr>
          <w:color w:val="000000"/>
          <w:sz w:val="20"/>
          <w:szCs w:val="20"/>
        </w:rPr>
        <w:t xml:space="preserve"> do próprio </w:t>
      </w:r>
      <w:r w:rsidRPr="00A11F6E">
        <w:rPr>
          <w:bCs/>
          <w:color w:val="000000"/>
          <w:sz w:val="20"/>
          <w:szCs w:val="20"/>
        </w:rPr>
        <w:t>governo iniciado em 2019, pois a mudança na orientação das políticas de educação superior pode ter contribuído para a volta do crescimento da desigualdade principalmente no que se refere ao percentual de pessoas negras entre os ingressantes na educação superior</w:t>
      </w:r>
      <w:r w:rsidRPr="006B54B2">
        <w:rPr>
          <w:color w:val="000000"/>
          <w:sz w:val="20"/>
          <w:szCs w:val="20"/>
        </w:rPr>
        <w:t>.</w:t>
      </w:r>
    </w:p>
    <w:p w14:paraId="46F630AC" w14:textId="77777777" w:rsidR="003112DA" w:rsidRDefault="003112DA" w:rsidP="003112DA">
      <w:pPr>
        <w:pStyle w:val="LO-normal"/>
        <w:jc w:val="both"/>
        <w:rPr>
          <w:color w:val="000000"/>
          <w:sz w:val="20"/>
          <w:szCs w:val="20"/>
        </w:rPr>
      </w:pPr>
      <w:r>
        <w:rPr>
          <w:b/>
          <w:sz w:val="20"/>
          <w:szCs w:val="20"/>
        </w:rPr>
        <w:t xml:space="preserve">Palavras-chave: </w:t>
      </w:r>
      <w:r w:rsidRPr="00E44016">
        <w:rPr>
          <w:sz w:val="20"/>
          <w:szCs w:val="20"/>
        </w:rPr>
        <w:t>Educação Superior. Desigualdade. ENEM.</w:t>
      </w:r>
    </w:p>
    <w:p w14:paraId="6DB606BB" w14:textId="77777777" w:rsidR="003112DA" w:rsidRDefault="003112DA" w:rsidP="003112DA">
      <w:pPr>
        <w:pStyle w:val="LO-normal"/>
        <w:jc w:val="both"/>
        <w:rPr>
          <w:color w:val="000000"/>
          <w:sz w:val="24"/>
          <w:szCs w:val="24"/>
        </w:rPr>
      </w:pPr>
    </w:p>
    <w:p w14:paraId="7B2D2260" w14:textId="77777777" w:rsidR="003112DA" w:rsidRDefault="003112DA" w:rsidP="003112DA">
      <w:pPr>
        <w:pStyle w:val="LO-normal"/>
        <w:jc w:val="both"/>
        <w:rPr>
          <w:b/>
          <w:color w:val="000000"/>
          <w:sz w:val="24"/>
          <w:szCs w:val="24"/>
        </w:rPr>
      </w:pPr>
      <w:r>
        <w:rPr>
          <w:b/>
          <w:color w:val="000000"/>
          <w:sz w:val="24"/>
          <w:szCs w:val="24"/>
        </w:rPr>
        <w:t>Referências Bibliográficas</w:t>
      </w:r>
    </w:p>
    <w:p w14:paraId="0D8CB331" w14:textId="28337857" w:rsidR="003112DA" w:rsidRPr="00321DFF" w:rsidRDefault="003112DA" w:rsidP="003112DA">
      <w:pPr>
        <w:pStyle w:val="LO-normal"/>
        <w:rPr>
          <w:color w:val="000000"/>
          <w:sz w:val="24"/>
          <w:szCs w:val="24"/>
        </w:rPr>
      </w:pPr>
      <w:r w:rsidRPr="003112DA">
        <w:rPr>
          <w:color w:val="000000"/>
          <w:sz w:val="24"/>
          <w:szCs w:val="24"/>
        </w:rPr>
        <w:t xml:space="preserve">BOURDIEU, P.; PASSERON, J. C.  </w:t>
      </w:r>
      <w:r w:rsidRPr="00A11F6E">
        <w:rPr>
          <w:i/>
          <w:iCs/>
          <w:color w:val="000000"/>
          <w:sz w:val="24"/>
          <w:szCs w:val="24"/>
        </w:rPr>
        <w:t>A reprodução</w:t>
      </w:r>
      <w:r>
        <w:rPr>
          <w:color w:val="000000"/>
          <w:sz w:val="24"/>
          <w:szCs w:val="24"/>
        </w:rPr>
        <w:t>: elementos para uma teoria do sistema de ensino</w:t>
      </w:r>
      <w:r w:rsidRPr="00321DFF">
        <w:rPr>
          <w:color w:val="000000"/>
          <w:sz w:val="24"/>
          <w:szCs w:val="24"/>
        </w:rPr>
        <w:t xml:space="preserve">. </w:t>
      </w:r>
      <w:r w:rsidR="00321FF3">
        <w:rPr>
          <w:color w:val="000000"/>
          <w:sz w:val="24"/>
          <w:szCs w:val="24"/>
        </w:rPr>
        <w:t xml:space="preserve"> </w:t>
      </w:r>
      <w:r>
        <w:rPr>
          <w:color w:val="000000"/>
          <w:sz w:val="24"/>
          <w:szCs w:val="24"/>
        </w:rPr>
        <w:t>7.ed.  Petrópolis</w:t>
      </w:r>
      <w:r w:rsidRPr="00321DFF">
        <w:rPr>
          <w:color w:val="000000"/>
          <w:sz w:val="24"/>
          <w:szCs w:val="24"/>
        </w:rPr>
        <w:t xml:space="preserve">, </w:t>
      </w:r>
      <w:r>
        <w:rPr>
          <w:color w:val="000000"/>
          <w:sz w:val="24"/>
          <w:szCs w:val="24"/>
        </w:rPr>
        <w:t>Vozes</w:t>
      </w:r>
      <w:r w:rsidRPr="00321DFF">
        <w:rPr>
          <w:color w:val="000000"/>
          <w:sz w:val="24"/>
          <w:szCs w:val="24"/>
        </w:rPr>
        <w:t>, 201</w:t>
      </w:r>
      <w:r>
        <w:rPr>
          <w:color w:val="000000"/>
          <w:sz w:val="24"/>
          <w:szCs w:val="24"/>
        </w:rPr>
        <w:t>4</w:t>
      </w:r>
      <w:r w:rsidRPr="00321DFF">
        <w:rPr>
          <w:color w:val="000000"/>
          <w:sz w:val="24"/>
          <w:szCs w:val="24"/>
        </w:rPr>
        <w:t>.</w:t>
      </w:r>
    </w:p>
    <w:p w14:paraId="782000E7" w14:textId="6F9C7A8A" w:rsidR="00691727" w:rsidRPr="00C748FE" w:rsidRDefault="003112DA" w:rsidP="003112DA">
      <w:pPr>
        <w:pStyle w:val="LO-normal"/>
        <w:rPr>
          <w:color w:val="000000"/>
          <w:sz w:val="24"/>
          <w:szCs w:val="24"/>
        </w:rPr>
      </w:pPr>
      <w:r>
        <w:rPr>
          <w:color w:val="000000"/>
          <w:sz w:val="24"/>
          <w:szCs w:val="24"/>
        </w:rPr>
        <w:t>___</w:t>
      </w:r>
      <w:r w:rsidRPr="00321DFF">
        <w:rPr>
          <w:color w:val="000000"/>
          <w:sz w:val="24"/>
          <w:szCs w:val="24"/>
        </w:rPr>
        <w:t xml:space="preserve">. </w:t>
      </w:r>
      <w:r w:rsidR="008479FF">
        <w:rPr>
          <w:color w:val="000000"/>
          <w:sz w:val="24"/>
          <w:szCs w:val="24"/>
        </w:rPr>
        <w:t xml:space="preserve"> </w:t>
      </w:r>
      <w:r w:rsidRPr="00321DFF">
        <w:rPr>
          <w:i/>
          <w:iCs/>
          <w:color w:val="000000"/>
          <w:sz w:val="24"/>
          <w:szCs w:val="24"/>
        </w:rPr>
        <w:t>Os herdeiros</w:t>
      </w:r>
      <w:r w:rsidRPr="00321DFF">
        <w:rPr>
          <w:color w:val="000000"/>
          <w:sz w:val="24"/>
          <w:szCs w:val="24"/>
        </w:rPr>
        <w:t xml:space="preserve">: os estudantes e a cultura. </w:t>
      </w:r>
      <w:r w:rsidR="00321FF3">
        <w:rPr>
          <w:color w:val="000000"/>
          <w:sz w:val="24"/>
          <w:szCs w:val="24"/>
        </w:rPr>
        <w:t xml:space="preserve"> </w:t>
      </w:r>
      <w:r w:rsidR="00CA3365">
        <w:rPr>
          <w:color w:val="000000"/>
          <w:sz w:val="24"/>
          <w:szCs w:val="24"/>
        </w:rPr>
        <w:t xml:space="preserve">2.ed.  </w:t>
      </w:r>
      <w:r w:rsidRPr="00321DFF">
        <w:rPr>
          <w:color w:val="000000"/>
          <w:sz w:val="24"/>
          <w:szCs w:val="24"/>
        </w:rPr>
        <w:t>Florianópolis, Editora da UFSC, 201</w:t>
      </w:r>
      <w:r w:rsidR="00CA3365">
        <w:rPr>
          <w:color w:val="000000"/>
          <w:sz w:val="24"/>
          <w:szCs w:val="24"/>
        </w:rPr>
        <w:t>8</w:t>
      </w:r>
      <w:r w:rsidRPr="00321DFF">
        <w:rPr>
          <w:color w:val="000000"/>
          <w:sz w:val="24"/>
          <w:szCs w:val="24"/>
        </w:rPr>
        <w:t>.</w:t>
      </w:r>
    </w:p>
    <w:sectPr w:rsidR="00691727" w:rsidRPr="00C748FE">
      <w:headerReference w:type="default" r:id="rId8"/>
      <w:footerReference w:type="default" r:id="rId9"/>
      <w:pgSz w:w="11906" w:h="16838"/>
      <w:pgMar w:top="1417" w:right="1133" w:bottom="1417" w:left="1417"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D5A45" w14:textId="77777777" w:rsidR="00C052C3" w:rsidRDefault="00C052C3">
      <w:pPr>
        <w:spacing w:line="240" w:lineRule="auto"/>
      </w:pPr>
      <w:r>
        <w:separator/>
      </w:r>
    </w:p>
  </w:endnote>
  <w:endnote w:type="continuationSeparator" w:id="0">
    <w:p w14:paraId="11C8455F" w14:textId="77777777" w:rsidR="00C052C3" w:rsidRDefault="00C052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4600" w14:textId="67B55A9F" w:rsidR="00691727" w:rsidRDefault="002D44D2">
    <w:pPr>
      <w:pStyle w:val="LO-normal"/>
      <w:tabs>
        <w:tab w:val="center" w:pos="4252"/>
        <w:tab w:val="right" w:pos="8504"/>
      </w:tabs>
      <w:spacing w:line="240" w:lineRule="auto"/>
      <w:jc w:val="right"/>
      <w:rPr>
        <w:color w:val="000000"/>
      </w:rPr>
    </w:pPr>
    <w:r>
      <w:fldChar w:fldCharType="begin"/>
    </w:r>
    <w:r>
      <w:instrText>PAGE</w:instrText>
    </w:r>
    <w:r>
      <w:fldChar w:fldCharType="separate"/>
    </w:r>
    <w:r>
      <w:t>1</w:t>
    </w:r>
    <w:r>
      <w:fldChar w:fldCharType="end"/>
    </w:r>
  </w:p>
  <w:p w14:paraId="46F55327" w14:textId="5AC28985" w:rsidR="00691727" w:rsidRDefault="002D44D2">
    <w:pPr>
      <w:pStyle w:val="LO-normal"/>
      <w:jc w:val="center"/>
      <w:rPr>
        <w:rFonts w:ascii="Roboto" w:eastAsia="Roboto" w:hAnsi="Roboto" w:cs="Roboto"/>
        <w:color w:val="000000"/>
        <w:sz w:val="16"/>
        <w:szCs w:val="16"/>
        <w:highlight w:val="white"/>
      </w:rPr>
    </w:pPr>
    <w:r>
      <w:rPr>
        <w:rFonts w:ascii="Roboto" w:eastAsia="Roboto" w:hAnsi="Roboto" w:cs="Roboto"/>
        <w:sz w:val="16"/>
        <w:szCs w:val="16"/>
        <w:highlight w:val="white"/>
      </w:rPr>
      <w:t>V</w:t>
    </w:r>
    <w:r w:rsidR="00AE7399">
      <w:rPr>
        <w:rFonts w:ascii="Roboto" w:eastAsia="Roboto" w:hAnsi="Roboto" w:cs="Roboto"/>
        <w:sz w:val="16"/>
        <w:szCs w:val="16"/>
        <w:highlight w:val="white"/>
      </w:rPr>
      <w:t>II</w:t>
    </w:r>
    <w:r>
      <w:rPr>
        <w:rFonts w:ascii="Roboto" w:eastAsia="Roboto" w:hAnsi="Roboto" w:cs="Roboto"/>
        <w:sz w:val="16"/>
        <w:szCs w:val="16"/>
        <w:highlight w:val="white"/>
      </w:rPr>
      <w:t xml:space="preserve"> </w:t>
    </w:r>
    <w:r>
      <w:rPr>
        <w:rFonts w:ascii="Roboto" w:eastAsia="Roboto" w:hAnsi="Roboto" w:cs="Roboto"/>
        <w:color w:val="000000"/>
        <w:sz w:val="16"/>
        <w:szCs w:val="16"/>
        <w:highlight w:val="white"/>
      </w:rPr>
      <w:t xml:space="preserve">Seminário Discente PPGEDU – Universidade Federal Fluminense </w:t>
    </w:r>
  </w:p>
  <w:p w14:paraId="3435CD49" w14:textId="39A2BD8D" w:rsidR="00AE7399" w:rsidRPr="00AE7399" w:rsidRDefault="00AE7399">
    <w:pPr>
      <w:pStyle w:val="LO-normal"/>
      <w:jc w:val="center"/>
      <w:rPr>
        <w:rFonts w:ascii="Roboto" w:eastAsia="Roboto" w:hAnsi="Roboto" w:cs="Roboto"/>
        <w:sz w:val="16"/>
        <w:szCs w:val="16"/>
        <w:highlight w:val="white"/>
      </w:rPr>
    </w:pPr>
    <w:r w:rsidRPr="00AE7399">
      <w:rPr>
        <w:rFonts w:ascii="Roboto" w:eastAsia="Roboto" w:hAnsi="Roboto" w:cs="Roboto"/>
        <w:sz w:val="16"/>
        <w:szCs w:val="16"/>
        <w:highlight w:val="white"/>
      </w:rPr>
      <w:t xml:space="preserve">10 Anos da Lei de Cotas: </w:t>
    </w:r>
    <w:r w:rsidR="007168F2">
      <w:rPr>
        <w:rFonts w:ascii="Roboto" w:eastAsia="Roboto" w:hAnsi="Roboto" w:cs="Roboto"/>
        <w:sz w:val="16"/>
        <w:szCs w:val="16"/>
        <w:highlight w:val="white"/>
      </w:rPr>
      <w:t>A</w:t>
    </w:r>
    <w:r w:rsidRPr="00AE7399">
      <w:rPr>
        <w:rFonts w:ascii="Roboto" w:eastAsia="Roboto" w:hAnsi="Roboto" w:cs="Roboto"/>
        <w:sz w:val="16"/>
        <w:szCs w:val="16"/>
        <w:highlight w:val="white"/>
      </w:rPr>
      <w:t xml:space="preserve">cesso e </w:t>
    </w:r>
    <w:r w:rsidR="007168F2">
      <w:rPr>
        <w:rFonts w:ascii="Roboto" w:eastAsia="Roboto" w:hAnsi="Roboto" w:cs="Roboto"/>
        <w:sz w:val="16"/>
        <w:szCs w:val="16"/>
        <w:highlight w:val="white"/>
      </w:rPr>
      <w:t>P</w:t>
    </w:r>
    <w:r w:rsidRPr="00AE7399">
      <w:rPr>
        <w:rFonts w:ascii="Roboto" w:eastAsia="Roboto" w:hAnsi="Roboto" w:cs="Roboto"/>
        <w:sz w:val="16"/>
        <w:szCs w:val="16"/>
        <w:highlight w:val="white"/>
      </w:rPr>
      <w:t xml:space="preserve">ermanência na Universidade </w:t>
    </w:r>
  </w:p>
  <w:p w14:paraId="7A65252B" w14:textId="08BB959A" w:rsidR="00691727" w:rsidRDefault="002D44D2">
    <w:pPr>
      <w:pStyle w:val="LO-normal"/>
      <w:jc w:val="center"/>
      <w:rPr>
        <w:color w:val="000000"/>
        <w:sz w:val="16"/>
        <w:szCs w:val="16"/>
      </w:rPr>
    </w:pPr>
    <w:r>
      <w:rPr>
        <w:rFonts w:ascii="Roboto" w:eastAsia="Roboto" w:hAnsi="Roboto" w:cs="Roboto"/>
        <w:color w:val="000000"/>
        <w:sz w:val="16"/>
        <w:szCs w:val="16"/>
        <w:highlight w:val="white"/>
      </w:rPr>
      <w:t xml:space="preserve">Niterói – RJ, </w:t>
    </w:r>
    <w:r w:rsidR="00AE7399">
      <w:rPr>
        <w:rFonts w:ascii="Roboto" w:eastAsia="Roboto" w:hAnsi="Roboto" w:cs="Roboto"/>
        <w:color w:val="000000"/>
        <w:sz w:val="16"/>
        <w:szCs w:val="16"/>
        <w:highlight w:val="white"/>
      </w:rPr>
      <w:t>30 de novembro, 1 e 2 de dezembro</w:t>
    </w:r>
    <w:r>
      <w:rPr>
        <w:rFonts w:ascii="Roboto" w:eastAsia="Roboto" w:hAnsi="Roboto" w:cs="Roboto"/>
        <w:color w:val="000000"/>
        <w:sz w:val="16"/>
        <w:szCs w:val="16"/>
        <w:highlight w:val="white"/>
      </w:rPr>
      <w:t xml:space="preserve"> de 20</w:t>
    </w:r>
    <w:r>
      <w:rPr>
        <w:rFonts w:ascii="Roboto" w:eastAsia="Roboto" w:hAnsi="Roboto" w:cs="Roboto"/>
        <w:sz w:val="16"/>
        <w:szCs w:val="16"/>
        <w:highlight w:val="white"/>
      </w:rPr>
      <w:t>2</w:t>
    </w:r>
    <w:r w:rsidR="00AE7399">
      <w:rPr>
        <w:rFonts w:ascii="Roboto" w:eastAsia="Roboto" w:hAnsi="Roboto" w:cs="Roboto"/>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22572" w14:textId="77777777" w:rsidR="00C052C3" w:rsidRDefault="00C052C3">
      <w:pPr>
        <w:spacing w:line="240" w:lineRule="auto"/>
      </w:pPr>
      <w:r>
        <w:separator/>
      </w:r>
    </w:p>
  </w:footnote>
  <w:footnote w:type="continuationSeparator" w:id="0">
    <w:p w14:paraId="6831B4A8" w14:textId="77777777" w:rsidR="00C052C3" w:rsidRDefault="00C052C3">
      <w:pPr>
        <w:spacing w:line="240" w:lineRule="auto"/>
      </w:pPr>
      <w:r>
        <w:continuationSeparator/>
      </w:r>
    </w:p>
  </w:footnote>
  <w:footnote w:id="1">
    <w:p w14:paraId="373A8C93" w14:textId="77777777" w:rsidR="006B54B2" w:rsidRPr="006B54B2" w:rsidRDefault="006B54B2" w:rsidP="006B54B2">
      <w:pPr>
        <w:pStyle w:val="Textodenotaderodap"/>
        <w:jc w:val="both"/>
      </w:pPr>
      <w:r>
        <w:rPr>
          <w:rStyle w:val="Refdenotaderodap"/>
        </w:rPr>
        <w:footnoteRef/>
      </w:r>
      <w:r>
        <w:t xml:space="preserve"> </w:t>
      </w:r>
      <w:r w:rsidRPr="006B54B2">
        <w:t>Pedagogo e mestre em Educação pela Universidade do Estado do Rio de Janeiro (UERJ), especialista em Análise de Dados em Políticas Públicas pela Escola Nacional de Administração Pública (Enap) e doutorando em Educação pela Universidade Federal Fluminense (UFF). Pesquisador do Instituto Nacional de Estudos e Pesquisas Educacionais Anísio Teixeira (Inep), atuando na Diretoria de Estudos Educacionais (</w:t>
      </w:r>
      <w:proofErr w:type="spellStart"/>
      <w:r w:rsidRPr="006B54B2">
        <w:t>Dired</w:t>
      </w:r>
      <w:proofErr w:type="spellEnd"/>
      <w:r w:rsidRPr="006B54B2">
        <w:t>).</w:t>
      </w:r>
    </w:p>
    <w:p w14:paraId="1D18C5F9" w14:textId="5C2FA231" w:rsidR="006B54B2" w:rsidRDefault="006B54B2">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9E40" w14:textId="2A183F16" w:rsidR="00691727" w:rsidRDefault="007168F2">
    <w:pPr>
      <w:pStyle w:val="LO-normal"/>
      <w:jc w:val="center"/>
      <w:rPr>
        <w:color w:val="000000"/>
      </w:rPr>
    </w:pPr>
    <w:r>
      <w:rPr>
        <w:noProof/>
        <w:color w:val="000000"/>
      </w:rPr>
      <w:drawing>
        <wp:inline distT="0" distB="0" distL="0" distR="0" wp14:anchorId="7F38ECA8" wp14:editId="2CF24C62">
          <wp:extent cx="5892611" cy="11906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t="24403" b="55391"/>
                  <a:stretch/>
                </pic:blipFill>
                <pic:spPr bwMode="auto">
                  <a:xfrm>
                    <a:off x="0" y="0"/>
                    <a:ext cx="5907222" cy="11935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C55E5"/>
    <w:multiLevelType w:val="hybridMultilevel"/>
    <w:tmpl w:val="E3FE178E"/>
    <w:lvl w:ilvl="0" w:tplc="BAE80832">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155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727"/>
    <w:rsid w:val="000A0DA5"/>
    <w:rsid w:val="000B6DA7"/>
    <w:rsid w:val="00104F4F"/>
    <w:rsid w:val="002A1798"/>
    <w:rsid w:val="002D44D2"/>
    <w:rsid w:val="002F2866"/>
    <w:rsid w:val="002F2F96"/>
    <w:rsid w:val="003112DA"/>
    <w:rsid w:val="00321DFF"/>
    <w:rsid w:val="00321FF3"/>
    <w:rsid w:val="00360D13"/>
    <w:rsid w:val="0039199A"/>
    <w:rsid w:val="003A395B"/>
    <w:rsid w:val="00505E0E"/>
    <w:rsid w:val="005538E9"/>
    <w:rsid w:val="00585BBE"/>
    <w:rsid w:val="0064004C"/>
    <w:rsid w:val="00691727"/>
    <w:rsid w:val="006B54B2"/>
    <w:rsid w:val="006C04EA"/>
    <w:rsid w:val="007168F2"/>
    <w:rsid w:val="007638FD"/>
    <w:rsid w:val="007E5029"/>
    <w:rsid w:val="008479FF"/>
    <w:rsid w:val="00870AC4"/>
    <w:rsid w:val="008D2704"/>
    <w:rsid w:val="009646B7"/>
    <w:rsid w:val="00A13609"/>
    <w:rsid w:val="00AE7399"/>
    <w:rsid w:val="00B162CD"/>
    <w:rsid w:val="00C052C3"/>
    <w:rsid w:val="00C47706"/>
    <w:rsid w:val="00C748FE"/>
    <w:rsid w:val="00CA3365"/>
    <w:rsid w:val="00D04AD2"/>
    <w:rsid w:val="00D20136"/>
    <w:rsid w:val="00DE1961"/>
    <w:rsid w:val="00E13400"/>
    <w:rsid w:val="00E416C6"/>
    <w:rsid w:val="00E44016"/>
    <w:rsid w:val="00EE03A0"/>
    <w:rsid w:val="00FC22F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54080"/>
  <w15:docId w15:val="{F8224E12-80C7-45EF-B434-696DED3E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Ttulo1">
    <w:name w:val="heading 1"/>
    <w:basedOn w:val="LO-normal"/>
    <w:next w:val="LO-normal"/>
    <w:uiPriority w:val="9"/>
    <w:qFormat/>
    <w:pPr>
      <w:keepNext/>
      <w:keepLines/>
      <w:spacing w:before="400" w:after="120"/>
      <w:outlineLvl w:val="0"/>
    </w:pPr>
    <w:rPr>
      <w:color w:val="000000"/>
      <w:sz w:val="40"/>
      <w:szCs w:val="40"/>
    </w:rPr>
  </w:style>
  <w:style w:type="paragraph" w:styleId="Ttulo2">
    <w:name w:val="heading 2"/>
    <w:basedOn w:val="LO-normal"/>
    <w:next w:val="LO-normal"/>
    <w:uiPriority w:val="9"/>
    <w:semiHidden/>
    <w:unhideWhenUsed/>
    <w:qFormat/>
    <w:pPr>
      <w:keepNext/>
      <w:keepLines/>
      <w:spacing w:before="360" w:after="120"/>
      <w:outlineLvl w:val="1"/>
    </w:pPr>
    <w:rPr>
      <w:color w:val="000000"/>
      <w:sz w:val="32"/>
      <w:szCs w:val="32"/>
    </w:rPr>
  </w:style>
  <w:style w:type="paragraph" w:styleId="Ttulo3">
    <w:name w:val="heading 3"/>
    <w:basedOn w:val="LO-normal"/>
    <w:next w:val="LO-normal"/>
    <w:uiPriority w:val="9"/>
    <w:semiHidden/>
    <w:unhideWhenUsed/>
    <w:qFormat/>
    <w:pPr>
      <w:keepNext/>
      <w:keepLines/>
      <w:spacing w:before="320" w:after="80"/>
      <w:outlineLvl w:val="2"/>
    </w:pPr>
    <w:rPr>
      <w:color w:val="434343"/>
      <w:sz w:val="28"/>
      <w:szCs w:val="28"/>
    </w:rPr>
  </w:style>
  <w:style w:type="paragraph" w:styleId="Ttulo4">
    <w:name w:val="heading 4"/>
    <w:basedOn w:val="LO-normal"/>
    <w:next w:val="LO-normal"/>
    <w:uiPriority w:val="9"/>
    <w:semiHidden/>
    <w:unhideWhenUsed/>
    <w:qFormat/>
    <w:pPr>
      <w:keepNext/>
      <w:keepLines/>
      <w:spacing w:before="280" w:after="80"/>
      <w:outlineLvl w:val="3"/>
    </w:pPr>
    <w:rPr>
      <w:color w:val="666666"/>
      <w:sz w:val="24"/>
      <w:szCs w:val="24"/>
    </w:rPr>
  </w:style>
  <w:style w:type="paragraph" w:styleId="Ttulo5">
    <w:name w:val="heading 5"/>
    <w:basedOn w:val="LO-normal"/>
    <w:next w:val="LO-normal"/>
    <w:uiPriority w:val="9"/>
    <w:semiHidden/>
    <w:unhideWhenUsed/>
    <w:qFormat/>
    <w:pPr>
      <w:keepNext/>
      <w:keepLines/>
      <w:spacing w:before="240" w:after="80"/>
      <w:outlineLvl w:val="4"/>
    </w:pPr>
    <w:rPr>
      <w:color w:val="666666"/>
    </w:rPr>
  </w:style>
  <w:style w:type="paragraph" w:styleId="Ttulo6">
    <w:name w:val="heading 6"/>
    <w:basedOn w:val="LO-normal"/>
    <w:next w:val="LO-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LO-normal"/>
    <w:next w:val="Corpodetexto"/>
    <w:uiPriority w:val="10"/>
    <w:qFormat/>
    <w:pPr>
      <w:keepNext/>
      <w:keepLines/>
      <w:spacing w:after="60"/>
    </w:pPr>
    <w:rPr>
      <w:color w:val="000000"/>
      <w:sz w:val="52"/>
      <w:szCs w:val="52"/>
    </w:rPr>
  </w:style>
  <w:style w:type="paragraph" w:styleId="Corpodetexto">
    <w:name w:val="Body Text"/>
    <w:basedOn w:val="Normal"/>
    <w:pPr>
      <w:spacing w:after="140"/>
    </w:p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customStyle="1" w:styleId="LO-normal">
    <w:name w:val="LO-normal"/>
    <w:qFormat/>
    <w:pPr>
      <w:spacing w:line="276" w:lineRule="auto"/>
    </w:pPr>
  </w:style>
  <w:style w:type="paragraph" w:styleId="Subttulo">
    <w:name w:val="Subtitle"/>
    <w:basedOn w:val="LO-normal"/>
    <w:next w:val="LO-normal"/>
    <w:uiPriority w:val="11"/>
    <w:qFormat/>
    <w:pPr>
      <w:keepNext/>
      <w:keepLines/>
      <w:spacing w:after="320"/>
    </w:pPr>
    <w:rPr>
      <w:color w:val="666666"/>
      <w:sz w:val="30"/>
      <w:szCs w:val="30"/>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table" w:customStyle="1" w:styleId="TableNormal">
    <w:name w:val="Table Normal"/>
    <w:tblPr>
      <w:tblCellMar>
        <w:top w:w="0" w:type="dxa"/>
        <w:left w:w="0" w:type="dxa"/>
        <w:bottom w:w="0" w:type="dxa"/>
        <w:right w:w="0" w:type="dxa"/>
      </w:tblCellMar>
    </w:tblPr>
  </w:style>
  <w:style w:type="paragraph" w:styleId="Textodenotadefim">
    <w:name w:val="endnote text"/>
    <w:basedOn w:val="Normal"/>
    <w:link w:val="TextodenotadefimChar"/>
    <w:uiPriority w:val="99"/>
    <w:semiHidden/>
    <w:unhideWhenUsed/>
    <w:rsid w:val="006B54B2"/>
    <w:pPr>
      <w:spacing w:line="240" w:lineRule="auto"/>
    </w:pPr>
    <w:rPr>
      <w:rFonts w:cs="Mangal"/>
      <w:sz w:val="20"/>
      <w:szCs w:val="18"/>
    </w:rPr>
  </w:style>
  <w:style w:type="character" w:customStyle="1" w:styleId="TextodenotadefimChar">
    <w:name w:val="Texto de nota de fim Char"/>
    <w:basedOn w:val="Fontepargpadro"/>
    <w:link w:val="Textodenotadefim"/>
    <w:uiPriority w:val="99"/>
    <w:semiHidden/>
    <w:rsid w:val="006B54B2"/>
    <w:rPr>
      <w:rFonts w:cs="Mangal"/>
      <w:sz w:val="20"/>
      <w:szCs w:val="18"/>
    </w:rPr>
  </w:style>
  <w:style w:type="character" w:styleId="Refdenotadefim">
    <w:name w:val="endnote reference"/>
    <w:basedOn w:val="Fontepargpadro"/>
    <w:uiPriority w:val="99"/>
    <w:semiHidden/>
    <w:unhideWhenUsed/>
    <w:rsid w:val="006B54B2"/>
    <w:rPr>
      <w:vertAlign w:val="superscript"/>
    </w:rPr>
  </w:style>
  <w:style w:type="paragraph" w:styleId="Textodenotaderodap">
    <w:name w:val="footnote text"/>
    <w:basedOn w:val="Normal"/>
    <w:link w:val="TextodenotaderodapChar"/>
    <w:uiPriority w:val="99"/>
    <w:semiHidden/>
    <w:unhideWhenUsed/>
    <w:rsid w:val="006B54B2"/>
    <w:pPr>
      <w:spacing w:line="240" w:lineRule="auto"/>
    </w:pPr>
    <w:rPr>
      <w:rFonts w:cs="Mangal"/>
      <w:sz w:val="20"/>
      <w:szCs w:val="18"/>
    </w:rPr>
  </w:style>
  <w:style w:type="character" w:customStyle="1" w:styleId="TextodenotaderodapChar">
    <w:name w:val="Texto de nota de rodapé Char"/>
    <w:basedOn w:val="Fontepargpadro"/>
    <w:link w:val="Textodenotaderodap"/>
    <w:uiPriority w:val="99"/>
    <w:semiHidden/>
    <w:rsid w:val="006B54B2"/>
    <w:rPr>
      <w:rFonts w:cs="Mangal"/>
      <w:sz w:val="20"/>
      <w:szCs w:val="18"/>
    </w:rPr>
  </w:style>
  <w:style w:type="character" w:styleId="Refdenotaderodap">
    <w:name w:val="footnote reference"/>
    <w:basedOn w:val="Fontepargpadro"/>
    <w:uiPriority w:val="99"/>
    <w:semiHidden/>
    <w:unhideWhenUsed/>
    <w:rsid w:val="006B54B2"/>
    <w:rPr>
      <w:vertAlign w:val="superscript"/>
    </w:rPr>
  </w:style>
  <w:style w:type="paragraph" w:styleId="PargrafodaLista">
    <w:name w:val="List Paragraph"/>
    <w:basedOn w:val="Normal"/>
    <w:uiPriority w:val="34"/>
    <w:qFormat/>
    <w:rsid w:val="002F2866"/>
    <w:pPr>
      <w:suppressAutoHyphens w:val="0"/>
      <w:spacing w:after="160" w:line="259" w:lineRule="auto"/>
      <w:ind w:left="720"/>
      <w:contextualSpacing/>
    </w:pPr>
    <w:rPr>
      <w:rFonts w:asciiTheme="minorHAnsi" w:eastAsiaTheme="minorHAnsi" w:hAnsiTheme="minorHAnsi" w:cs="Mang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7F1EE-6ECD-43B6-A890-7279D34AE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392</Words>
  <Characters>2118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Ramos de Azevedo</dc:creator>
  <dc:description/>
  <cp:lastModifiedBy>Alexandre Ramos de Azevedo</cp:lastModifiedBy>
  <cp:revision>13</cp:revision>
  <cp:lastPrinted>2022-10-21T01:53:00Z</cp:lastPrinted>
  <dcterms:created xsi:type="dcterms:W3CDTF">2022-11-20T12:59:00Z</dcterms:created>
  <dcterms:modified xsi:type="dcterms:W3CDTF">2022-11-20T13:41:00Z</dcterms:modified>
  <dc:language>pt-BR</dc:language>
</cp:coreProperties>
</file>