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D9011" w14:textId="77777777" w:rsidR="00D52CC5" w:rsidRDefault="00D52CC5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10870E9" w14:textId="6EB2860D" w:rsidR="00A0732D" w:rsidRPr="00A0732D" w:rsidRDefault="00D52CC5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Uso de fiação por sopro através da aerografia para uso em regeneração óssea guiada (ROG)</w:t>
      </w:r>
      <w:r w:rsidR="00B50B6C" w:rsidRPr="00B50B6C">
        <w:rPr>
          <w:noProof/>
        </w:rPr>
        <w:t xml:space="preserve"> </w:t>
      </w:r>
    </w:p>
    <w:p w14:paraId="3BE0401C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7A267AAA" w14:textId="7D415595" w:rsidR="00A27835" w:rsidRDefault="00E93204" w:rsidP="00367D8F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 w:rsidRPr="000246CD">
        <w:rPr>
          <w:rFonts w:ascii="Arial" w:hAnsi="Arial" w:cs="Arial"/>
          <w:b/>
          <w:szCs w:val="24"/>
          <w:lang w:val="pt-BR"/>
        </w:rPr>
        <w:t>Ellen dos Santos</w:t>
      </w:r>
      <w:r w:rsidR="0006527A" w:rsidRPr="000246CD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Pr="000246CD">
        <w:rPr>
          <w:rFonts w:ascii="Arial" w:hAnsi="Arial" w:cs="Arial"/>
          <w:b/>
          <w:szCs w:val="24"/>
          <w:u w:val="single"/>
          <w:lang w:val="pt-BR"/>
        </w:rPr>
        <w:t>Maria Eduarda Samora Viana</w:t>
      </w:r>
      <w:r w:rsidR="0006527A" w:rsidRPr="000246CD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D52CC5">
        <w:rPr>
          <w:rFonts w:ascii="Arial" w:hAnsi="Arial" w:cs="Arial"/>
          <w:b/>
          <w:szCs w:val="24"/>
          <w:lang w:val="pt-BR"/>
        </w:rPr>
        <w:t xml:space="preserve">, </w:t>
      </w:r>
      <w:r w:rsidR="00A27835">
        <w:rPr>
          <w:rFonts w:ascii="Arial" w:hAnsi="Arial" w:cs="Arial"/>
          <w:b/>
          <w:szCs w:val="24"/>
          <w:lang w:val="pt-BR"/>
        </w:rPr>
        <w:t>Fabiano Luiz Heggendorn</w:t>
      </w:r>
      <w:r w:rsidR="00A27835">
        <w:rPr>
          <w:rFonts w:ascii="Arial" w:hAnsi="Arial" w:cs="Arial"/>
          <w:b/>
          <w:szCs w:val="24"/>
          <w:vertAlign w:val="superscript"/>
          <w:lang w:val="pt-BR"/>
        </w:rPr>
        <w:t>2,</w:t>
      </w:r>
      <w:r w:rsidR="00D272CA">
        <w:rPr>
          <w:rFonts w:ascii="Arial" w:hAnsi="Arial" w:cs="Arial"/>
          <w:b/>
          <w:szCs w:val="24"/>
          <w:vertAlign w:val="superscript"/>
          <w:lang w:val="pt-BR"/>
        </w:rPr>
        <w:t xml:space="preserve"> </w:t>
      </w:r>
      <w:r w:rsidR="00E97797">
        <w:rPr>
          <w:rFonts w:ascii="Arial" w:hAnsi="Arial" w:cs="Arial"/>
          <w:b/>
          <w:szCs w:val="24"/>
          <w:lang w:val="pt-BR"/>
        </w:rPr>
        <w:t>Arthur Henrique Vidigal de Miranda</w:t>
      </w:r>
      <w:r w:rsidR="00E97797">
        <w:rPr>
          <w:rFonts w:ascii="Arial" w:hAnsi="Arial" w:cs="Arial"/>
          <w:b/>
          <w:szCs w:val="24"/>
          <w:vertAlign w:val="superscript"/>
          <w:lang w:val="pt-BR"/>
        </w:rPr>
        <w:t>3</w:t>
      </w:r>
      <w:r w:rsidR="00E97797">
        <w:rPr>
          <w:rFonts w:ascii="Arial" w:hAnsi="Arial" w:cs="Arial"/>
          <w:b/>
          <w:szCs w:val="24"/>
          <w:lang w:val="pt-BR"/>
        </w:rPr>
        <w:t xml:space="preserve">, </w:t>
      </w:r>
      <w:r w:rsidR="006042AC" w:rsidRPr="006042AC">
        <w:rPr>
          <w:rFonts w:ascii="Arial" w:hAnsi="Arial" w:cs="Arial"/>
          <w:b/>
          <w:szCs w:val="24"/>
          <w:lang w:val="pt-BR"/>
        </w:rPr>
        <w:t>Paulo Henrique de Souza Picciani</w:t>
      </w:r>
      <w:r w:rsidR="00E97797">
        <w:rPr>
          <w:rFonts w:ascii="Arial" w:hAnsi="Arial" w:cs="Arial"/>
          <w:b/>
          <w:szCs w:val="24"/>
          <w:vertAlign w:val="superscript"/>
          <w:lang w:val="pt-BR"/>
        </w:rPr>
        <w:t>3</w:t>
      </w:r>
    </w:p>
    <w:p w14:paraId="04B42AC1" w14:textId="77777777" w:rsidR="00A27835" w:rsidRDefault="00A27835" w:rsidP="00367D8F">
      <w:pPr>
        <w:pStyle w:val="00abstractauthors"/>
        <w:spacing w:after="0" w:line="240" w:lineRule="auto"/>
        <w:rPr>
          <w:rFonts w:ascii="Arial" w:hAnsi="Arial" w:cs="Arial"/>
          <w:b/>
          <w:szCs w:val="24"/>
          <w:vertAlign w:val="superscript"/>
          <w:lang w:val="pt-BR"/>
        </w:rPr>
      </w:pPr>
    </w:p>
    <w:p w14:paraId="7F745312" w14:textId="51576904" w:rsidR="00E97797" w:rsidRDefault="00E97797" w:rsidP="004959A5">
      <w:pPr>
        <w:pStyle w:val="00abstractauthors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E97797">
        <w:rPr>
          <w:rFonts w:ascii="Arial" w:hAnsi="Arial" w:cs="Arial"/>
          <w:b/>
          <w:bCs/>
          <w:szCs w:val="24"/>
        </w:rPr>
        <w:t>1 - Faculdade de Odontologia da Universidade do Grande Rio (UNIGRANRIO), Rua Prof. José de Souza Herdy, 1.160, bloc</w:t>
      </w:r>
      <w:r w:rsidR="001C6EA7">
        <w:rPr>
          <w:rFonts w:ascii="Arial" w:hAnsi="Arial" w:cs="Arial"/>
          <w:b/>
          <w:bCs/>
          <w:szCs w:val="24"/>
        </w:rPr>
        <w:t>o</w:t>
      </w:r>
      <w:r w:rsidRPr="00E97797">
        <w:rPr>
          <w:rFonts w:ascii="Arial" w:hAnsi="Arial" w:cs="Arial"/>
          <w:b/>
          <w:bCs/>
          <w:szCs w:val="24"/>
        </w:rPr>
        <w:t xml:space="preserve"> C, 2</w:t>
      </w:r>
      <w:r w:rsidR="001C6EA7">
        <w:rPr>
          <w:rFonts w:ascii="Arial" w:hAnsi="Arial" w:cs="Arial"/>
          <w:b/>
          <w:bCs/>
          <w:szCs w:val="24"/>
        </w:rPr>
        <w:t>°</w:t>
      </w:r>
      <w:r w:rsidRPr="00E97797">
        <w:rPr>
          <w:rFonts w:ascii="Arial" w:hAnsi="Arial" w:cs="Arial"/>
          <w:b/>
          <w:bCs/>
          <w:szCs w:val="24"/>
        </w:rPr>
        <w:t xml:space="preserve"> andar – 25 de Agosto - Duque de Caxias / Rio de Janeiro, Brasil - Cep: 25071-202.</w:t>
      </w:r>
    </w:p>
    <w:p w14:paraId="2B9286AB" w14:textId="77777777" w:rsidR="00E97797" w:rsidRDefault="00E97797" w:rsidP="00E97797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4E55A5D8" w14:textId="7D3B9DC8" w:rsidR="00E97797" w:rsidRDefault="00E97797" w:rsidP="00E97797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97797">
        <w:rPr>
          <w:rFonts w:ascii="Arial" w:hAnsi="Arial" w:cs="Arial"/>
          <w:b/>
          <w:bCs/>
          <w:szCs w:val="24"/>
        </w:rPr>
        <w:t>2 - Programa de Pós-Graduação em Odontologia (PPGO), Universidade do Grande Rio (UNIGRANRIO). Rua Prof. José de Souza Herdy, 1.160, bloco C, 2</w:t>
      </w:r>
      <w:r w:rsidR="001C6EA7">
        <w:rPr>
          <w:rFonts w:ascii="Arial" w:hAnsi="Arial" w:cs="Arial"/>
          <w:b/>
          <w:bCs/>
          <w:szCs w:val="24"/>
        </w:rPr>
        <w:t>°</w:t>
      </w:r>
      <w:r w:rsidRPr="00E97797">
        <w:rPr>
          <w:rFonts w:ascii="Arial" w:hAnsi="Arial" w:cs="Arial"/>
          <w:b/>
          <w:bCs/>
          <w:szCs w:val="24"/>
        </w:rPr>
        <w:t xml:space="preserve"> andar - 25 de Agosto - Duque de Caxias / Rio de Janeiro, Brasil - CEP 25071-202</w:t>
      </w:r>
    </w:p>
    <w:p w14:paraId="0BA1F3F7" w14:textId="5F18FBE2" w:rsidR="00E97797" w:rsidRDefault="00E97797" w:rsidP="00E97797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5C83ECEF" w14:textId="563A8871" w:rsidR="00E97797" w:rsidRPr="00E97797" w:rsidRDefault="00E97797" w:rsidP="00E97797">
      <w:pPr>
        <w:spacing w:line="360" w:lineRule="auto"/>
        <w:jc w:val="center"/>
        <w:rPr>
          <w:rFonts w:ascii="Arial" w:hAnsi="Arial" w:cs="Arial"/>
          <w:b/>
          <w:bCs/>
          <w:szCs w:val="24"/>
          <w:lang w:val="pt-BR"/>
        </w:rPr>
      </w:pPr>
      <w:r>
        <w:rPr>
          <w:rFonts w:ascii="Arial" w:hAnsi="Arial" w:cs="Arial"/>
          <w:b/>
          <w:bCs/>
          <w:szCs w:val="24"/>
        </w:rPr>
        <w:t xml:space="preserve">3 - </w:t>
      </w:r>
      <w:r w:rsidR="00DC48C4">
        <w:rPr>
          <w:rFonts w:ascii="Arial" w:hAnsi="Arial" w:cs="Arial"/>
          <w:b/>
          <w:bCs/>
          <w:szCs w:val="24"/>
        </w:rPr>
        <w:t xml:space="preserve"> </w:t>
      </w:r>
      <w:r w:rsidR="0093000A">
        <w:rPr>
          <w:rFonts w:ascii="Arial" w:hAnsi="Arial" w:cs="Arial"/>
          <w:b/>
          <w:bCs/>
          <w:szCs w:val="24"/>
        </w:rPr>
        <w:t>Instituto de Macromoléculas Professora Eloísa Mano – IMA/UFRJ</w:t>
      </w:r>
    </w:p>
    <w:p w14:paraId="2F1D3081" w14:textId="25204C11" w:rsidR="00367D8F" w:rsidRDefault="00367D8F" w:rsidP="00E97797">
      <w:pPr>
        <w:pStyle w:val="00abstractauthors"/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39E5BBD9" w14:textId="4FA8714A" w:rsidR="00DC48C4" w:rsidRDefault="000246CD" w:rsidP="00367D8F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 w:rsidRPr="000246CD">
        <w:rPr>
          <w:rFonts w:ascii="Arial" w:hAnsi="Arial" w:cs="Arial"/>
          <w:szCs w:val="24"/>
          <w:lang w:val="pt-BR"/>
        </w:rPr>
        <w:t>mariaeduardasamora@gmail.com</w:t>
      </w:r>
    </w:p>
    <w:p w14:paraId="729CD303" w14:textId="46B8C837" w:rsidR="00367D8F" w:rsidRPr="00A0732D" w:rsidRDefault="00897F80" w:rsidP="00367D8F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</w:t>
      </w:r>
    </w:p>
    <w:p w14:paraId="0558095D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1D6BDE39" w14:textId="7FEEEC00" w:rsidR="00393B26" w:rsidRDefault="00897F80" w:rsidP="00CF4ECE">
      <w:pPr>
        <w:rPr>
          <w:rFonts w:ascii="Arial" w:hAnsi="Arial" w:cs="Arial"/>
        </w:rPr>
      </w:pPr>
      <w:r w:rsidRPr="00324B0C">
        <w:rPr>
          <w:rFonts w:ascii="Arial" w:hAnsi="Arial" w:cs="Arial"/>
          <w:b/>
          <w:bCs/>
        </w:rPr>
        <w:t>R</w:t>
      </w:r>
      <w:r w:rsidR="006B21F6" w:rsidRPr="00324B0C">
        <w:rPr>
          <w:rFonts w:ascii="Arial" w:hAnsi="Arial" w:cs="Arial"/>
          <w:b/>
          <w:bCs/>
        </w:rPr>
        <w:t>ESUMO</w:t>
      </w:r>
      <w:r w:rsidRPr="00212E4F">
        <w:rPr>
          <w:rFonts w:ascii="Arial" w:hAnsi="Arial" w:cs="Arial"/>
        </w:rPr>
        <w:t>:</w:t>
      </w:r>
    </w:p>
    <w:p w14:paraId="0BE0AB1F" w14:textId="45118620" w:rsidR="00E26225" w:rsidRDefault="00E26225" w:rsidP="00CF4ECE">
      <w:pPr>
        <w:rPr>
          <w:rFonts w:ascii="Arial" w:hAnsi="Arial" w:cs="Arial"/>
        </w:rPr>
      </w:pPr>
    </w:p>
    <w:p w14:paraId="759CA0E6" w14:textId="3CA14CB7" w:rsidR="00DC48C4" w:rsidRDefault="00324B0C" w:rsidP="00DC48C4">
      <w:pPr>
        <w:rPr>
          <w:rFonts w:ascii="Arial" w:hAnsi="Arial" w:cs="Arial"/>
          <w:color w:val="000000"/>
          <w:szCs w:val="24"/>
          <w:lang w:eastAsia="pt-BR"/>
        </w:rPr>
      </w:pPr>
      <w:r w:rsidRPr="00324B0C">
        <w:rPr>
          <w:rFonts w:ascii="Arial" w:hAnsi="Arial" w:cs="Arial"/>
          <w:b/>
          <w:bCs/>
        </w:rPr>
        <w:t>Introdução</w:t>
      </w:r>
      <w:r>
        <w:rPr>
          <w:rFonts w:ascii="Arial" w:hAnsi="Arial" w:cs="Arial"/>
        </w:rPr>
        <w:t>:</w:t>
      </w:r>
      <w:r w:rsidR="00A27835">
        <w:rPr>
          <w:rFonts w:ascii="Arial" w:hAnsi="Arial" w:cs="Arial"/>
        </w:rPr>
        <w:t xml:space="preserve"> </w:t>
      </w:r>
      <w:r w:rsidR="00E26225">
        <w:rPr>
          <w:rFonts w:ascii="Arial" w:hAnsi="Arial" w:cs="Arial"/>
        </w:rPr>
        <w:t>Existem di</w:t>
      </w:r>
      <w:r w:rsidR="00E97797">
        <w:rPr>
          <w:rFonts w:ascii="Arial" w:hAnsi="Arial" w:cs="Arial"/>
        </w:rPr>
        <w:t>ferentes</w:t>
      </w:r>
      <w:r w:rsidR="00E26225">
        <w:rPr>
          <w:rFonts w:ascii="Arial" w:hAnsi="Arial" w:cs="Arial"/>
        </w:rPr>
        <w:t xml:space="preserve"> classes de biomateriais, uma delas são os hidrogéis formados por uma rede de polímeros</w:t>
      </w:r>
      <w:r w:rsidR="00090BC6">
        <w:rPr>
          <w:rFonts w:ascii="Arial" w:hAnsi="Arial" w:cs="Arial"/>
        </w:rPr>
        <w:t xml:space="preserve"> </w:t>
      </w:r>
      <w:r w:rsidR="00E26225">
        <w:rPr>
          <w:rFonts w:ascii="Arial" w:hAnsi="Arial" w:cs="Arial"/>
        </w:rPr>
        <w:t xml:space="preserve">podendo serem utilizados em fabricação medicamentosa, engenharia tecidual, entre outros métodos. Por sua vez, </w:t>
      </w:r>
      <w:r w:rsidR="00E26225" w:rsidRPr="00E26225">
        <w:rPr>
          <w:rFonts w:ascii="Arial" w:hAnsi="Arial" w:cs="Arial"/>
        </w:rPr>
        <w:t xml:space="preserve">na regeneração óssea guiada </w:t>
      </w:r>
      <w:r w:rsidR="00947E8B">
        <w:rPr>
          <w:rFonts w:ascii="Arial" w:hAnsi="Arial" w:cs="Arial"/>
        </w:rPr>
        <w:t>(ROG)</w:t>
      </w:r>
      <w:r w:rsidR="00090BC6">
        <w:rPr>
          <w:rFonts w:ascii="Arial" w:hAnsi="Arial" w:cs="Arial"/>
        </w:rPr>
        <w:t xml:space="preserve"> </w:t>
      </w:r>
      <w:r w:rsidR="00E26225" w:rsidRPr="00E26225">
        <w:rPr>
          <w:rFonts w:ascii="Arial" w:hAnsi="Arial" w:cs="Arial"/>
        </w:rPr>
        <w:t xml:space="preserve">os hidrogéis se mostram capazes de terem a função de </w:t>
      </w:r>
      <w:r w:rsidR="006042AC" w:rsidRPr="004959A5">
        <w:rPr>
          <w:rFonts w:ascii="Arial" w:hAnsi="Arial" w:cs="Arial"/>
          <w:i/>
          <w:iCs/>
        </w:rPr>
        <w:t>scaffold</w:t>
      </w:r>
      <w:r w:rsidR="00E26225" w:rsidRPr="00E26225">
        <w:rPr>
          <w:rFonts w:ascii="Arial" w:hAnsi="Arial" w:cs="Arial"/>
        </w:rPr>
        <w:t xml:space="preserve"> para que células ósseas possam realizar uma neoformação </w:t>
      </w:r>
      <w:r w:rsidR="00E97797">
        <w:rPr>
          <w:rFonts w:ascii="Arial" w:hAnsi="Arial" w:cs="Arial"/>
        </w:rPr>
        <w:t xml:space="preserve">tecidual </w:t>
      </w:r>
      <w:r w:rsidR="00E26225" w:rsidRPr="00E26225">
        <w:rPr>
          <w:rFonts w:ascii="Arial" w:hAnsi="Arial" w:cs="Arial"/>
          <w:color w:val="000000"/>
          <w:szCs w:val="24"/>
          <w:lang w:eastAsia="pt-BR"/>
        </w:rPr>
        <w:t xml:space="preserve">(BARBUCCI, 2008; ABDOLLAHIYAN </w:t>
      </w:r>
      <w:r w:rsidR="00E26225" w:rsidRPr="00E26225">
        <w:rPr>
          <w:rFonts w:ascii="Arial" w:hAnsi="Arial" w:cs="Arial"/>
          <w:i/>
          <w:iCs/>
          <w:color w:val="000000"/>
          <w:szCs w:val="24"/>
          <w:lang w:eastAsia="pt-BR"/>
        </w:rPr>
        <w:t>et al.,</w:t>
      </w:r>
      <w:r w:rsidR="00E26225" w:rsidRPr="00E26225">
        <w:rPr>
          <w:rFonts w:ascii="Arial" w:hAnsi="Arial" w:cs="Arial"/>
          <w:color w:val="000000"/>
          <w:szCs w:val="24"/>
          <w:lang w:eastAsia="pt-BR"/>
        </w:rPr>
        <w:t xml:space="preserve"> 2021). O uso da eletrofiação e solução por sopro </w:t>
      </w:r>
      <w:r w:rsidR="00E26225" w:rsidRPr="00E26225">
        <w:rPr>
          <w:rFonts w:ascii="Arial" w:hAnsi="Arial" w:cs="Arial"/>
        </w:rPr>
        <w:t>se mostra poss</w:t>
      </w:r>
      <w:r w:rsidR="00E97797">
        <w:rPr>
          <w:rFonts w:ascii="Arial" w:hAnsi="Arial" w:cs="Arial"/>
        </w:rPr>
        <w:t>í</w:t>
      </w:r>
      <w:r w:rsidR="00E26225" w:rsidRPr="00E26225">
        <w:rPr>
          <w:rFonts w:ascii="Arial" w:hAnsi="Arial" w:cs="Arial"/>
        </w:rPr>
        <w:t xml:space="preserve">vel </w:t>
      </w:r>
      <w:r w:rsidR="00E26225" w:rsidRPr="00E26225">
        <w:rPr>
          <w:rFonts w:ascii="Arial" w:hAnsi="Arial" w:cs="Arial"/>
          <w:lang w:eastAsia="pt-BR"/>
        </w:rPr>
        <w:t xml:space="preserve">(BEHRENS </w:t>
      </w:r>
      <w:r w:rsidR="00E26225" w:rsidRPr="00E26225">
        <w:rPr>
          <w:rFonts w:ascii="Arial" w:hAnsi="Arial" w:cs="Arial"/>
          <w:i/>
          <w:iCs/>
          <w:lang w:eastAsia="pt-BR"/>
        </w:rPr>
        <w:t>et al</w:t>
      </w:r>
      <w:r w:rsidR="00E26225" w:rsidRPr="00E26225">
        <w:rPr>
          <w:rFonts w:ascii="Arial" w:hAnsi="Arial" w:cs="Arial"/>
          <w:lang w:eastAsia="pt-BR"/>
        </w:rPr>
        <w:t>.</w:t>
      </w:r>
      <w:r w:rsidR="006042AC">
        <w:rPr>
          <w:rFonts w:ascii="Arial" w:hAnsi="Arial" w:cs="Arial"/>
          <w:lang w:eastAsia="pt-BR"/>
        </w:rPr>
        <w:t>,</w:t>
      </w:r>
      <w:r w:rsidR="00E26225" w:rsidRPr="00E26225">
        <w:rPr>
          <w:rFonts w:ascii="Arial" w:hAnsi="Arial" w:cs="Arial"/>
          <w:lang w:eastAsia="pt-BR"/>
        </w:rPr>
        <w:t xml:space="preserve"> 2014)</w:t>
      </w:r>
      <w:r w:rsidR="00947E8B">
        <w:rPr>
          <w:rFonts w:ascii="Arial" w:hAnsi="Arial" w:cs="Arial"/>
          <w:lang w:eastAsia="pt-BR"/>
        </w:rPr>
        <w:t>. Entende-se que</w:t>
      </w:r>
      <w:r w:rsidR="00E26225" w:rsidRPr="00E26225">
        <w:rPr>
          <w:rFonts w:ascii="Arial" w:hAnsi="Arial" w:cs="Arial"/>
          <w:lang w:eastAsia="pt-BR"/>
        </w:rPr>
        <w:t xml:space="preserve"> quanto maior </w:t>
      </w:r>
      <w:r w:rsidR="00947E8B">
        <w:rPr>
          <w:rFonts w:ascii="Arial" w:hAnsi="Arial" w:cs="Arial"/>
          <w:lang w:eastAsia="pt-BR"/>
        </w:rPr>
        <w:t xml:space="preserve">a </w:t>
      </w:r>
      <w:r w:rsidR="00E26225" w:rsidRPr="00E26225">
        <w:rPr>
          <w:rFonts w:ascii="Arial" w:hAnsi="Arial" w:cs="Arial"/>
          <w:lang w:eastAsia="pt-BR"/>
        </w:rPr>
        <w:t xml:space="preserve">porosidade </w:t>
      </w:r>
      <w:r w:rsidR="00947E8B">
        <w:rPr>
          <w:rFonts w:ascii="Arial" w:hAnsi="Arial" w:cs="Arial"/>
          <w:lang w:eastAsia="pt-BR"/>
        </w:rPr>
        <w:t>apresentada</w:t>
      </w:r>
      <w:r w:rsidR="00090BC6">
        <w:rPr>
          <w:rFonts w:ascii="Arial" w:hAnsi="Arial" w:cs="Arial"/>
          <w:lang w:eastAsia="pt-BR"/>
        </w:rPr>
        <w:t xml:space="preserve"> na área de interesse</w:t>
      </w:r>
      <w:r w:rsidR="00E26225" w:rsidRPr="00E26225">
        <w:rPr>
          <w:rFonts w:ascii="Arial" w:hAnsi="Arial" w:cs="Arial"/>
          <w:lang w:eastAsia="pt-BR"/>
        </w:rPr>
        <w:t>, maior a chance de células reparadoras se unirem e consequentemente</w:t>
      </w:r>
      <w:r w:rsidR="00947E8B">
        <w:rPr>
          <w:rFonts w:ascii="Arial" w:hAnsi="Arial" w:cs="Arial"/>
          <w:lang w:eastAsia="pt-BR"/>
        </w:rPr>
        <w:t xml:space="preserve"> </w:t>
      </w:r>
      <w:r w:rsidR="00E26225" w:rsidRPr="00E26225">
        <w:rPr>
          <w:rFonts w:ascii="Arial" w:hAnsi="Arial" w:cs="Arial"/>
          <w:lang w:eastAsia="pt-BR"/>
        </w:rPr>
        <w:t>gerar</w:t>
      </w:r>
      <w:r w:rsidR="00947E8B">
        <w:rPr>
          <w:rFonts w:ascii="Arial" w:hAnsi="Arial" w:cs="Arial"/>
          <w:lang w:eastAsia="pt-BR"/>
        </w:rPr>
        <w:t>em</w:t>
      </w:r>
      <w:r w:rsidR="00E26225" w:rsidRPr="00E26225">
        <w:rPr>
          <w:rFonts w:ascii="Arial" w:hAnsi="Arial" w:cs="Arial"/>
          <w:lang w:eastAsia="pt-BR"/>
        </w:rPr>
        <w:t xml:space="preserve"> a criação de um novo tecido. </w:t>
      </w:r>
      <w:r w:rsidRPr="00324B0C">
        <w:rPr>
          <w:rFonts w:ascii="Arial" w:hAnsi="Arial" w:cs="Arial"/>
          <w:b/>
          <w:bCs/>
          <w:lang w:eastAsia="pt-BR"/>
        </w:rPr>
        <w:t>Objetivo:</w:t>
      </w:r>
      <w:r w:rsidR="00E26225" w:rsidRPr="00E26225">
        <w:rPr>
          <w:rFonts w:ascii="Arial" w:hAnsi="Arial" w:cs="Arial"/>
          <w:lang w:eastAsia="pt-BR"/>
        </w:rPr>
        <w:t xml:space="preserve"> </w:t>
      </w:r>
      <w:r w:rsidR="006042AC" w:rsidRPr="006042AC">
        <w:rPr>
          <w:rFonts w:ascii="Arial" w:hAnsi="Arial" w:cs="Arial"/>
          <w:lang w:eastAsia="pt-BR"/>
        </w:rPr>
        <w:t xml:space="preserve">Este trabalho tem como objetivo avaliar membranas poliméricas de poli(ácido glicólico) (PLA) desenvolvidas através de caneta de aerografia pela técnica </w:t>
      </w:r>
      <w:r w:rsidR="006042AC" w:rsidRPr="00830780">
        <w:rPr>
          <w:rFonts w:ascii="Arial" w:hAnsi="Arial" w:cs="Arial"/>
          <w:i/>
          <w:iCs/>
          <w:lang w:eastAsia="pt-BR"/>
        </w:rPr>
        <w:t>Solution Blow Spinning</w:t>
      </w:r>
      <w:r w:rsidR="006042AC" w:rsidRPr="006042AC">
        <w:rPr>
          <w:rFonts w:ascii="Arial" w:hAnsi="Arial" w:cs="Arial"/>
          <w:lang w:eastAsia="pt-BR"/>
        </w:rPr>
        <w:t xml:space="preserve"> (SBS). </w:t>
      </w:r>
      <w:r w:rsidRPr="00324B0C">
        <w:rPr>
          <w:rFonts w:ascii="Arial" w:hAnsi="Arial" w:cs="Arial"/>
          <w:b/>
          <w:bCs/>
          <w:lang w:eastAsia="pt-BR"/>
        </w:rPr>
        <w:t>Métodos:</w:t>
      </w:r>
      <w:r w:rsidR="00E26225" w:rsidRPr="00324B0C">
        <w:rPr>
          <w:rFonts w:ascii="Arial" w:hAnsi="Arial" w:cs="Arial"/>
          <w:lang w:eastAsia="pt-BR"/>
        </w:rPr>
        <w:t xml:space="preserve"> </w:t>
      </w:r>
      <w:r w:rsidR="00E26225" w:rsidRPr="00E26225">
        <w:rPr>
          <w:rFonts w:ascii="Arial" w:hAnsi="Arial" w:cs="Arial"/>
          <w:lang w:eastAsia="pt-BR"/>
        </w:rPr>
        <w:t>Os pol</w:t>
      </w:r>
      <w:r w:rsidR="00947E8B">
        <w:rPr>
          <w:rFonts w:ascii="Arial" w:hAnsi="Arial" w:cs="Arial"/>
          <w:lang w:eastAsia="pt-BR"/>
        </w:rPr>
        <w:t>í</w:t>
      </w:r>
      <w:r w:rsidR="00E26225" w:rsidRPr="00E26225">
        <w:rPr>
          <w:rFonts w:ascii="Arial" w:hAnsi="Arial" w:cs="Arial"/>
          <w:lang w:eastAsia="pt-BR"/>
        </w:rPr>
        <w:t>meros</w:t>
      </w:r>
      <w:r w:rsidR="00947E8B">
        <w:rPr>
          <w:rFonts w:ascii="Arial" w:hAnsi="Arial" w:cs="Arial"/>
          <w:lang w:eastAsia="pt-BR"/>
        </w:rPr>
        <w:t xml:space="preserve"> </w:t>
      </w:r>
      <w:r w:rsidR="006377B3">
        <w:rPr>
          <w:rFonts w:ascii="Arial" w:hAnsi="Arial" w:cs="Arial"/>
          <w:lang w:eastAsia="pt-BR"/>
        </w:rPr>
        <w:t xml:space="preserve">de PLA 20% e PVA 20% </w:t>
      </w:r>
      <w:r w:rsidR="00626836">
        <w:rPr>
          <w:rFonts w:ascii="Arial" w:hAnsi="Arial" w:cs="Arial"/>
          <w:lang w:eastAsia="pt-BR"/>
        </w:rPr>
        <w:t>foram</w:t>
      </w:r>
      <w:r>
        <w:rPr>
          <w:rFonts w:ascii="Arial" w:hAnsi="Arial" w:cs="Arial"/>
          <w:color w:val="000000"/>
          <w:szCs w:val="24"/>
          <w:lang w:eastAsia="pt-BR"/>
        </w:rPr>
        <w:t xml:space="preserve"> depositados em superfícies metálicas e óssea em </w:t>
      </w:r>
      <w:r w:rsidR="00DC48C4">
        <w:rPr>
          <w:rFonts w:ascii="Arial" w:hAnsi="Arial" w:cs="Arial"/>
          <w:color w:val="000000"/>
          <w:szCs w:val="24"/>
          <w:lang w:eastAsia="pt-BR"/>
        </w:rPr>
        <w:t>distancia</w:t>
      </w:r>
      <w:r w:rsidR="00626836">
        <w:rPr>
          <w:rFonts w:ascii="Arial" w:hAnsi="Arial" w:cs="Arial"/>
          <w:color w:val="000000"/>
          <w:szCs w:val="24"/>
          <w:lang w:eastAsia="pt-BR"/>
        </w:rPr>
        <w:t xml:space="preserve"> </w:t>
      </w:r>
      <w:r w:rsidR="00DC48C4">
        <w:rPr>
          <w:rFonts w:ascii="Arial" w:hAnsi="Arial" w:cs="Arial"/>
          <w:color w:val="000000"/>
          <w:szCs w:val="24"/>
          <w:lang w:eastAsia="pt-BR"/>
        </w:rPr>
        <w:t>e</w:t>
      </w:r>
      <w:r>
        <w:rPr>
          <w:rFonts w:ascii="Arial" w:hAnsi="Arial" w:cs="Arial"/>
          <w:color w:val="000000"/>
          <w:szCs w:val="24"/>
          <w:lang w:eastAsia="pt-BR"/>
        </w:rPr>
        <w:t xml:space="preserve"> tempo pré-estabelecido</w:t>
      </w:r>
      <w:r w:rsidR="00DC48C4">
        <w:rPr>
          <w:rFonts w:ascii="Arial" w:hAnsi="Arial" w:cs="Arial"/>
          <w:color w:val="000000"/>
          <w:szCs w:val="24"/>
          <w:lang w:eastAsia="pt-BR"/>
        </w:rPr>
        <w:t>s</w:t>
      </w:r>
      <w:r>
        <w:rPr>
          <w:rFonts w:ascii="Arial" w:hAnsi="Arial" w:cs="Arial"/>
          <w:color w:val="000000"/>
          <w:szCs w:val="24"/>
          <w:lang w:eastAsia="pt-BR"/>
        </w:rPr>
        <w:t>.</w:t>
      </w:r>
      <w:r w:rsidR="00A27835">
        <w:rPr>
          <w:rFonts w:ascii="Arial" w:hAnsi="Arial" w:cs="Arial"/>
          <w:color w:val="000000"/>
          <w:szCs w:val="24"/>
          <w:lang w:eastAsia="pt-BR"/>
        </w:rPr>
        <w:t xml:space="preserve"> </w:t>
      </w:r>
      <w:r w:rsidRPr="00324B0C">
        <w:rPr>
          <w:rFonts w:ascii="Arial" w:hAnsi="Arial" w:cs="Arial"/>
          <w:b/>
          <w:bCs/>
          <w:color w:val="000000"/>
          <w:szCs w:val="24"/>
          <w:lang w:eastAsia="pt-BR"/>
        </w:rPr>
        <w:t>Resultados:</w:t>
      </w:r>
      <w:r>
        <w:rPr>
          <w:rFonts w:ascii="Arial" w:hAnsi="Arial" w:cs="Arial"/>
          <w:b/>
          <w:bCs/>
          <w:color w:val="000000"/>
          <w:szCs w:val="24"/>
          <w:lang w:eastAsia="pt-BR"/>
        </w:rPr>
        <w:t xml:space="preserve"> </w:t>
      </w:r>
      <w:r w:rsidR="00DC48C4">
        <w:rPr>
          <w:rFonts w:ascii="Arial" w:hAnsi="Arial" w:cs="Arial"/>
          <w:color w:val="000000"/>
          <w:szCs w:val="24"/>
          <w:lang w:eastAsia="pt-BR"/>
        </w:rPr>
        <w:t xml:space="preserve">Diferentes </w:t>
      </w:r>
      <w:r w:rsidR="00947E8B">
        <w:rPr>
          <w:rFonts w:ascii="Arial" w:hAnsi="Arial" w:cs="Arial"/>
          <w:color w:val="000000"/>
          <w:szCs w:val="24"/>
          <w:lang w:eastAsia="pt-BR"/>
        </w:rPr>
        <w:t>aspectos</w:t>
      </w:r>
      <w:r w:rsidR="00E26225">
        <w:rPr>
          <w:rFonts w:ascii="Arial" w:hAnsi="Arial" w:cs="Arial"/>
          <w:color w:val="000000"/>
          <w:szCs w:val="24"/>
          <w:lang w:eastAsia="pt-BR"/>
        </w:rPr>
        <w:t xml:space="preserve"> </w:t>
      </w:r>
      <w:r w:rsidR="00090BC6">
        <w:rPr>
          <w:rFonts w:ascii="Arial" w:hAnsi="Arial" w:cs="Arial"/>
          <w:color w:val="000000"/>
          <w:szCs w:val="24"/>
          <w:lang w:eastAsia="pt-BR"/>
        </w:rPr>
        <w:t xml:space="preserve">significativos </w:t>
      </w:r>
      <w:r w:rsidR="00947E8B">
        <w:rPr>
          <w:rFonts w:ascii="Arial" w:hAnsi="Arial" w:cs="Arial"/>
          <w:color w:val="000000"/>
          <w:szCs w:val="24"/>
          <w:lang w:eastAsia="pt-BR"/>
        </w:rPr>
        <w:t>após</w:t>
      </w:r>
      <w:r w:rsidR="001E49B4">
        <w:rPr>
          <w:rFonts w:ascii="Arial" w:hAnsi="Arial" w:cs="Arial"/>
          <w:color w:val="000000"/>
          <w:szCs w:val="24"/>
          <w:lang w:eastAsia="pt-BR"/>
        </w:rPr>
        <w:t xml:space="preserve"> suas</w:t>
      </w:r>
      <w:r w:rsidR="00DC48C4">
        <w:rPr>
          <w:rFonts w:ascii="Arial" w:hAnsi="Arial" w:cs="Arial"/>
          <w:color w:val="000000"/>
          <w:szCs w:val="24"/>
          <w:lang w:eastAsia="pt-BR"/>
        </w:rPr>
        <w:t xml:space="preserve"> aplicações</w:t>
      </w:r>
    </w:p>
    <w:p w14:paraId="54473356" w14:textId="77777777" w:rsidR="006377B3" w:rsidRDefault="00DC48C4" w:rsidP="00DC48C4">
      <w:pPr>
        <w:rPr>
          <w:rFonts w:ascii="Arial" w:hAnsi="Arial" w:cs="Arial"/>
          <w:color w:val="000000"/>
          <w:szCs w:val="24"/>
          <w:lang w:eastAsia="pt-BR"/>
        </w:rPr>
      </w:pPr>
      <w:r>
        <w:rPr>
          <w:rFonts w:ascii="Arial" w:hAnsi="Arial" w:cs="Arial"/>
          <w:color w:val="000000"/>
          <w:szCs w:val="24"/>
          <w:lang w:eastAsia="pt-BR"/>
        </w:rPr>
        <w:t>foram</w:t>
      </w:r>
      <w:r w:rsidR="00626836">
        <w:rPr>
          <w:rFonts w:ascii="Arial" w:hAnsi="Arial" w:cs="Arial"/>
          <w:color w:val="000000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Cs w:val="24"/>
          <w:lang w:eastAsia="pt-BR"/>
        </w:rPr>
        <w:t>observados através da</w:t>
      </w:r>
      <w:r w:rsidR="00E97797">
        <w:rPr>
          <w:rFonts w:ascii="Arial" w:hAnsi="Arial" w:cs="Arial"/>
          <w:color w:val="000000"/>
          <w:szCs w:val="24"/>
          <w:lang w:eastAsia="pt-BR"/>
        </w:rPr>
        <w:t xml:space="preserve"> microscopia de varredura eletronica e microscopia óptica</w:t>
      </w:r>
      <w:r>
        <w:rPr>
          <w:rFonts w:ascii="Arial" w:hAnsi="Arial" w:cs="Arial"/>
          <w:color w:val="000000"/>
          <w:szCs w:val="24"/>
          <w:lang w:eastAsia="pt-BR"/>
        </w:rPr>
        <w:t xml:space="preserve">, com PLA mostrando a presença </w:t>
      </w:r>
      <w:r w:rsidR="006938AB">
        <w:rPr>
          <w:rFonts w:ascii="Arial" w:hAnsi="Arial" w:cs="Arial"/>
          <w:color w:val="000000"/>
          <w:szCs w:val="24"/>
          <w:lang w:eastAsia="pt-BR"/>
        </w:rPr>
        <w:t xml:space="preserve">intensa </w:t>
      </w:r>
      <w:r>
        <w:rPr>
          <w:rFonts w:ascii="Arial" w:hAnsi="Arial" w:cs="Arial"/>
          <w:color w:val="000000"/>
          <w:szCs w:val="24"/>
          <w:lang w:eastAsia="pt-BR"/>
        </w:rPr>
        <w:t xml:space="preserve">de fibras </w:t>
      </w:r>
      <w:r w:rsidR="006938AB">
        <w:rPr>
          <w:rFonts w:ascii="Arial" w:hAnsi="Arial" w:cs="Arial"/>
          <w:color w:val="000000"/>
          <w:szCs w:val="24"/>
          <w:lang w:eastAsia="pt-BR"/>
        </w:rPr>
        <w:t xml:space="preserve">poliméricas, deposição </w:t>
      </w:r>
    </w:p>
    <w:p w14:paraId="0DE3585E" w14:textId="77777777" w:rsidR="006377B3" w:rsidRDefault="006377B3" w:rsidP="00DC48C4">
      <w:pPr>
        <w:rPr>
          <w:rFonts w:ascii="Arial" w:hAnsi="Arial" w:cs="Arial"/>
          <w:color w:val="000000"/>
          <w:szCs w:val="24"/>
          <w:lang w:eastAsia="pt-BR"/>
        </w:rPr>
      </w:pPr>
    </w:p>
    <w:p w14:paraId="4C534680" w14:textId="1316D448" w:rsidR="00E26225" w:rsidRPr="002573F7" w:rsidRDefault="006938AB" w:rsidP="00DC48C4">
      <w:pPr>
        <w:rPr>
          <w:rFonts w:ascii="Arial" w:hAnsi="Arial" w:cs="Arial"/>
          <w:color w:val="000000"/>
          <w:szCs w:val="24"/>
          <w:lang w:eastAsia="pt-BR"/>
        </w:rPr>
      </w:pPr>
      <w:r>
        <w:rPr>
          <w:rFonts w:ascii="Arial" w:hAnsi="Arial" w:cs="Arial"/>
          <w:color w:val="000000"/>
          <w:szCs w:val="24"/>
          <w:lang w:eastAsia="pt-BR"/>
        </w:rPr>
        <w:t>mais homogenea</w:t>
      </w:r>
      <w:r w:rsidR="00C22033">
        <w:rPr>
          <w:rFonts w:ascii="Arial" w:hAnsi="Arial" w:cs="Arial"/>
          <w:color w:val="000000"/>
          <w:szCs w:val="24"/>
          <w:lang w:eastAsia="pt-BR"/>
        </w:rPr>
        <w:t xml:space="preserve"> e </w:t>
      </w:r>
      <w:r w:rsidR="00DC48C4">
        <w:rPr>
          <w:rFonts w:ascii="Arial" w:hAnsi="Arial" w:cs="Arial"/>
          <w:color w:val="000000"/>
          <w:szCs w:val="24"/>
          <w:lang w:eastAsia="pt-BR"/>
        </w:rPr>
        <w:t xml:space="preserve">menor número de </w:t>
      </w:r>
      <w:r w:rsidR="00DC48C4" w:rsidRPr="00DC48C4">
        <w:rPr>
          <w:rFonts w:ascii="Arial" w:hAnsi="Arial" w:cs="Arial"/>
          <w:i/>
          <w:iCs/>
          <w:color w:val="000000"/>
          <w:szCs w:val="24"/>
          <w:lang w:eastAsia="pt-BR"/>
        </w:rPr>
        <w:t>gaps</w:t>
      </w:r>
      <w:r w:rsidRPr="006938AB">
        <w:rPr>
          <w:rFonts w:ascii="Arial" w:hAnsi="Arial" w:cs="Arial"/>
          <w:color w:val="000000"/>
          <w:szCs w:val="24"/>
          <w:lang w:eastAsia="pt-BR"/>
        </w:rPr>
        <w:t xml:space="preserve"> </w:t>
      </w:r>
      <w:r>
        <w:rPr>
          <w:rFonts w:ascii="Arial" w:hAnsi="Arial" w:cs="Arial"/>
          <w:i/>
          <w:iCs/>
          <w:color w:val="000000"/>
          <w:szCs w:val="24"/>
          <w:lang w:eastAsia="pt-BR"/>
        </w:rPr>
        <w:t xml:space="preserve">quando </w:t>
      </w:r>
      <w:r w:rsidRPr="006938AB">
        <w:rPr>
          <w:rFonts w:ascii="Arial" w:hAnsi="Arial" w:cs="Arial"/>
          <w:color w:val="000000"/>
          <w:szCs w:val="24"/>
          <w:lang w:eastAsia="pt-BR"/>
        </w:rPr>
        <w:t>comparada a solução</w:t>
      </w:r>
      <w:r>
        <w:rPr>
          <w:rFonts w:ascii="Arial" w:hAnsi="Arial" w:cs="Arial"/>
          <w:color w:val="000000"/>
          <w:szCs w:val="24"/>
          <w:lang w:eastAsia="pt-BR"/>
        </w:rPr>
        <w:t xml:space="preserve"> de P</w:t>
      </w:r>
      <w:r w:rsidR="00A8734D">
        <w:rPr>
          <w:rFonts w:ascii="Arial" w:hAnsi="Arial" w:cs="Arial"/>
          <w:color w:val="000000"/>
          <w:szCs w:val="24"/>
          <w:lang w:eastAsia="pt-BR"/>
        </w:rPr>
        <w:t>V</w:t>
      </w:r>
      <w:r>
        <w:rPr>
          <w:rFonts w:ascii="Arial" w:hAnsi="Arial" w:cs="Arial"/>
          <w:color w:val="000000"/>
          <w:szCs w:val="24"/>
          <w:lang w:eastAsia="pt-BR"/>
        </w:rPr>
        <w:t>A 20%.</w:t>
      </w:r>
      <w:r>
        <w:rPr>
          <w:rFonts w:ascii="Arial" w:hAnsi="Arial" w:cs="Arial"/>
          <w:i/>
          <w:iCs/>
          <w:color w:val="000000"/>
          <w:szCs w:val="24"/>
          <w:lang w:eastAsia="pt-BR"/>
        </w:rPr>
        <w:t xml:space="preserve"> </w:t>
      </w:r>
      <w:r w:rsidR="00DC48C4">
        <w:rPr>
          <w:rFonts w:ascii="Arial" w:hAnsi="Arial" w:cs="Arial"/>
          <w:i/>
          <w:iCs/>
          <w:color w:val="000000"/>
          <w:szCs w:val="24"/>
          <w:lang w:eastAsia="pt-BR"/>
        </w:rPr>
        <w:t xml:space="preserve"> </w:t>
      </w:r>
      <w:r w:rsidR="00DC48C4" w:rsidRPr="00DC48C4">
        <w:rPr>
          <w:rFonts w:ascii="Arial" w:hAnsi="Arial" w:cs="Arial"/>
          <w:b/>
          <w:bCs/>
          <w:color w:val="000000"/>
          <w:szCs w:val="24"/>
          <w:lang w:eastAsia="pt-BR"/>
        </w:rPr>
        <w:t>Conclusão:</w:t>
      </w:r>
      <w:r w:rsidR="00DC48C4">
        <w:rPr>
          <w:rFonts w:ascii="Arial" w:hAnsi="Arial" w:cs="Arial"/>
          <w:color w:val="000000"/>
          <w:szCs w:val="24"/>
          <w:lang w:eastAsia="pt-BR"/>
        </w:rPr>
        <w:t xml:space="preserve"> A </w:t>
      </w:r>
      <w:r w:rsidR="00E97797">
        <w:rPr>
          <w:rFonts w:ascii="Arial" w:hAnsi="Arial" w:cs="Arial"/>
          <w:color w:val="000000"/>
          <w:szCs w:val="24"/>
          <w:lang w:eastAsia="pt-BR"/>
        </w:rPr>
        <w:t xml:space="preserve">aplicação em </w:t>
      </w:r>
      <w:r w:rsidR="00E036A9">
        <w:rPr>
          <w:rFonts w:ascii="Arial" w:hAnsi="Arial" w:cs="Arial"/>
          <w:color w:val="000000"/>
          <w:szCs w:val="24"/>
          <w:lang w:eastAsia="pt-BR"/>
        </w:rPr>
        <w:t xml:space="preserve">superfície óssea </w:t>
      </w:r>
      <w:r w:rsidR="00CC7BE7">
        <w:rPr>
          <w:rFonts w:ascii="Arial" w:hAnsi="Arial" w:cs="Arial"/>
          <w:color w:val="000000"/>
          <w:szCs w:val="24"/>
          <w:lang w:eastAsia="pt-BR"/>
        </w:rPr>
        <w:t>deve ser capaz de formar um arcabouço e se desintegrar por meio de uma</w:t>
      </w:r>
      <w:r w:rsidR="00090BC6">
        <w:rPr>
          <w:rFonts w:ascii="Arial" w:hAnsi="Arial" w:cs="Arial"/>
          <w:color w:val="000000"/>
          <w:szCs w:val="24"/>
          <w:lang w:eastAsia="pt-BR"/>
        </w:rPr>
        <w:t xml:space="preserve"> </w:t>
      </w:r>
      <w:r w:rsidR="00CC7BE7">
        <w:rPr>
          <w:rFonts w:ascii="Arial" w:hAnsi="Arial" w:cs="Arial"/>
          <w:color w:val="000000"/>
          <w:szCs w:val="24"/>
          <w:lang w:eastAsia="pt-BR"/>
        </w:rPr>
        <w:t>degradação local, onde consequentemente as células de interese permanecerão pres</w:t>
      </w:r>
      <w:r w:rsidR="00090BC6">
        <w:rPr>
          <w:rFonts w:ascii="Arial" w:hAnsi="Arial" w:cs="Arial"/>
          <w:color w:val="000000"/>
          <w:szCs w:val="24"/>
          <w:lang w:eastAsia="pt-BR"/>
        </w:rPr>
        <w:t>ent</w:t>
      </w:r>
      <w:r w:rsidR="00CC7BE7">
        <w:rPr>
          <w:rFonts w:ascii="Arial" w:hAnsi="Arial" w:cs="Arial"/>
          <w:color w:val="000000"/>
          <w:szCs w:val="24"/>
          <w:lang w:eastAsia="pt-BR"/>
        </w:rPr>
        <w:t>es e formarão novo tecido ósseo</w:t>
      </w:r>
      <w:r w:rsidR="00DC48C4">
        <w:rPr>
          <w:rFonts w:ascii="Arial" w:hAnsi="Arial" w:cs="Arial"/>
          <w:color w:val="000000"/>
          <w:szCs w:val="24"/>
          <w:lang w:eastAsia="pt-BR"/>
        </w:rPr>
        <w:t xml:space="preserve">. </w:t>
      </w:r>
      <w:r w:rsidR="002573F7">
        <w:rPr>
          <w:rFonts w:ascii="Arial" w:hAnsi="Arial" w:cs="Arial"/>
          <w:color w:val="000000"/>
          <w:szCs w:val="24"/>
          <w:lang w:eastAsia="pt-BR"/>
        </w:rPr>
        <w:t>A solução de PLA 20% mostrou-se mais adequada n</w:t>
      </w:r>
      <w:r w:rsidR="00DE3CE8">
        <w:rPr>
          <w:rFonts w:ascii="Arial" w:hAnsi="Arial" w:cs="Arial"/>
          <w:color w:val="000000"/>
          <w:szCs w:val="24"/>
          <w:lang w:eastAsia="pt-BR"/>
        </w:rPr>
        <w:t xml:space="preserve">o ensaio realizado. </w:t>
      </w:r>
      <w:r w:rsidR="00DC48C4">
        <w:rPr>
          <w:rFonts w:ascii="Arial" w:hAnsi="Arial" w:cs="Arial"/>
          <w:color w:val="000000"/>
          <w:szCs w:val="24"/>
          <w:lang w:eastAsia="pt-BR"/>
        </w:rPr>
        <w:t xml:space="preserve">Desse modo, </w:t>
      </w:r>
      <w:r w:rsidR="00363AC7">
        <w:rPr>
          <w:rFonts w:ascii="Arial" w:hAnsi="Arial" w:cs="Arial"/>
          <w:color w:val="000000"/>
          <w:szCs w:val="24"/>
          <w:lang w:eastAsia="pt-BR"/>
        </w:rPr>
        <w:t xml:space="preserve">são necessárias </w:t>
      </w:r>
      <w:r w:rsidR="00DC48C4">
        <w:rPr>
          <w:rFonts w:ascii="Arial" w:hAnsi="Arial" w:cs="Arial"/>
          <w:color w:val="000000"/>
          <w:szCs w:val="24"/>
          <w:lang w:eastAsia="pt-BR"/>
        </w:rPr>
        <w:t xml:space="preserve"> outras aplicações padroniza</w:t>
      </w:r>
      <w:r w:rsidR="00363AC7">
        <w:rPr>
          <w:rFonts w:ascii="Arial" w:hAnsi="Arial" w:cs="Arial"/>
          <w:color w:val="000000"/>
          <w:szCs w:val="24"/>
          <w:lang w:eastAsia="pt-BR"/>
        </w:rPr>
        <w:t>ndo</w:t>
      </w:r>
      <w:r w:rsidR="00DC48C4">
        <w:rPr>
          <w:rFonts w:ascii="Arial" w:hAnsi="Arial" w:cs="Arial"/>
          <w:color w:val="000000"/>
          <w:szCs w:val="24"/>
          <w:lang w:eastAsia="pt-BR"/>
        </w:rPr>
        <w:t xml:space="preserve"> tempo e distancia</w:t>
      </w:r>
      <w:r w:rsidR="00363AC7">
        <w:rPr>
          <w:rFonts w:ascii="Arial" w:hAnsi="Arial" w:cs="Arial"/>
          <w:color w:val="000000"/>
          <w:szCs w:val="24"/>
          <w:lang w:eastAsia="pt-BR"/>
        </w:rPr>
        <w:t xml:space="preserve"> de jateamento</w:t>
      </w:r>
      <w:r w:rsidR="00DC48C4">
        <w:rPr>
          <w:rFonts w:ascii="Arial" w:hAnsi="Arial" w:cs="Arial"/>
          <w:color w:val="000000"/>
          <w:szCs w:val="24"/>
          <w:lang w:eastAsia="pt-BR"/>
        </w:rPr>
        <w:t>, bem como ter a presença de fibras e uma biocompatibilidade da rede polimérica de escolha em sua aplicação em tecido vivo.</w:t>
      </w:r>
    </w:p>
    <w:p w14:paraId="4E38F557" w14:textId="77777777" w:rsidR="00CF4ECE" w:rsidRPr="00E26225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23CCC464" w14:textId="77777777" w:rsidR="004C0D2B" w:rsidRPr="00D52CC5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1970381" w14:textId="622BD568" w:rsidR="00393B26" w:rsidRPr="00D52CC5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D52CC5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D52CC5">
        <w:rPr>
          <w:rFonts w:ascii="Arial" w:hAnsi="Arial" w:cs="Arial"/>
          <w:i/>
          <w:iCs/>
          <w:sz w:val="24"/>
          <w:szCs w:val="24"/>
          <w:lang w:val="pt-BR"/>
        </w:rPr>
        <w:t xml:space="preserve">: </w:t>
      </w:r>
      <w:r w:rsidR="00D52CC5">
        <w:rPr>
          <w:rFonts w:ascii="Arial" w:hAnsi="Arial" w:cs="Arial"/>
          <w:i/>
          <w:iCs/>
          <w:sz w:val="24"/>
          <w:szCs w:val="24"/>
          <w:lang w:val="pt-BR"/>
        </w:rPr>
        <w:t xml:space="preserve">Aerografia; Soluções poliméricas; </w:t>
      </w:r>
      <w:r w:rsidR="00D52CC5" w:rsidRPr="00D52CC5">
        <w:rPr>
          <w:rStyle w:val="highlight"/>
          <w:rFonts w:ascii="Arial" w:hAnsi="Arial" w:cs="Arial"/>
          <w:i/>
          <w:iCs/>
          <w:sz w:val="24"/>
          <w:szCs w:val="24"/>
        </w:rPr>
        <w:t>Regeneração</w:t>
      </w:r>
      <w:r w:rsidR="00D52CC5" w:rsidRPr="00D52CC5">
        <w:rPr>
          <w:rFonts w:ascii="Arial" w:hAnsi="Arial" w:cs="Arial"/>
          <w:i/>
          <w:iCs/>
          <w:sz w:val="24"/>
          <w:szCs w:val="24"/>
        </w:rPr>
        <w:t> Tecidual Guiada</w:t>
      </w:r>
      <w:r w:rsidR="00D52CC5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D52CC5">
        <w:rPr>
          <w:rFonts w:ascii="Arial" w:hAnsi="Arial" w:cs="Arial"/>
          <w:szCs w:val="24"/>
          <w:lang w:val="pt-BR"/>
        </w:rPr>
        <w:t xml:space="preserve"> </w:t>
      </w:r>
    </w:p>
    <w:p w14:paraId="4869451C" w14:textId="77777777" w:rsidR="009C7019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8383FDD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17DEA7EA" w14:textId="2930D937" w:rsidR="009C7019" w:rsidRDefault="006B21F6" w:rsidP="004959A5">
      <w:pPr>
        <w:pStyle w:val="Corpodetexto"/>
        <w:spacing w:line="240" w:lineRule="auto"/>
      </w:pPr>
      <w:r w:rsidRPr="006042AC">
        <w:rPr>
          <w:rFonts w:ascii="Arial" w:hAnsi="Arial" w:cs="Arial"/>
        </w:rPr>
        <w:t>REFERÊNCIAS:</w:t>
      </w:r>
    </w:p>
    <w:p w14:paraId="49ED354F" w14:textId="2C22F1D7" w:rsidR="0074086B" w:rsidRDefault="0074086B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53A48C49" w14:textId="6AA6BBC9" w:rsidR="0074086B" w:rsidRPr="00212E4F" w:rsidRDefault="0074086B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74086B">
        <w:rPr>
          <w:rFonts w:ascii="Arial" w:hAnsi="Arial" w:cs="Arial"/>
          <w:sz w:val="24"/>
          <w:szCs w:val="24"/>
          <w:lang w:val="en-US"/>
        </w:rPr>
        <w:t>ABDOLLAHIYAN P.; OROOJALINA F.; HEJAZI M.; DE LA GUARDIA M.; MOKHTARZADEH A. Nanotechnology, and scaffold implantation for the effective repair of injured organs: An overview on hard tissue engineering. Journal of Controlled Release. 333: 391–417, 2021</w:t>
      </w:r>
    </w:p>
    <w:p w14:paraId="53DC6DAF" w14:textId="58B69ED0" w:rsidR="009C7019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4B3701E7" w14:textId="38CD63D7" w:rsidR="00D52CC5" w:rsidRDefault="0074086B" w:rsidP="0074086B">
      <w:pPr>
        <w:pStyle w:val="Ttulo2"/>
        <w:spacing w:before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2CC5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ARANHA</w:t>
      </w:r>
      <w:r w:rsidR="00D52CC5" w:rsidRPr="00D52CC5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, I. B.; </w:t>
      </w:r>
      <w:r w:rsidRPr="00D52CC5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LUCAS</w:t>
      </w:r>
      <w:r w:rsidR="00D52CC5" w:rsidRPr="00D52CC5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 E. F</w:t>
      </w:r>
      <w:r w:rsidR="00D52CC5" w:rsidRPr="00D52CC5">
        <w:rPr>
          <w:rFonts w:ascii="Arial" w:eastAsia="Times New Roman" w:hAnsi="Arial" w:cs="Arial"/>
          <w:color w:val="auto"/>
          <w:sz w:val="24"/>
          <w:szCs w:val="24"/>
          <w:lang w:val="en-US" w:eastAsia="pt-BR"/>
        </w:rPr>
        <w:t xml:space="preserve">. </w:t>
      </w:r>
      <w:r w:rsidR="00D52CC5" w:rsidRPr="00D52CC5">
        <w:rPr>
          <w:rFonts w:ascii="Arial" w:hAnsi="Arial" w:cs="Arial"/>
          <w:color w:val="auto"/>
          <w:spacing w:val="-6"/>
          <w:sz w:val="24"/>
          <w:szCs w:val="24"/>
          <w:lang w:val="en-US"/>
        </w:rPr>
        <w:t xml:space="preserve">Chemical Modification of Poly(Vinyl Alcohol): Evaluation of Hydrophilic/Lipophilic Balance. </w:t>
      </w:r>
      <w:r w:rsidR="00D52CC5" w:rsidRPr="00D52CC5">
        <w:rPr>
          <w:rFonts w:ascii="Arial" w:hAnsi="Arial" w:cs="Arial"/>
          <w:color w:val="auto"/>
          <w:sz w:val="24"/>
          <w:szCs w:val="24"/>
        </w:rPr>
        <w:t>Polímeros: Ciência e Tecnologia, v. 11, n. 4, p. 174-181, nov. 2001</w:t>
      </w:r>
      <w:r w:rsidR="00D52CC5" w:rsidRPr="00D52CC5">
        <w:rPr>
          <w:rFonts w:ascii="Arial" w:hAnsi="Arial" w:cs="Arial"/>
          <w:color w:val="A7A49E"/>
          <w:sz w:val="24"/>
          <w:szCs w:val="24"/>
          <w:shd w:val="clear" w:color="auto" w:fill="FFFFFF"/>
        </w:rPr>
        <w:t xml:space="preserve">. </w:t>
      </w:r>
      <w:r w:rsidR="00D52CC5" w:rsidRPr="00D52CC5" w:rsidDel="00E31B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3A7BF564" w14:textId="77777777" w:rsidR="0074086B" w:rsidRPr="0074086B" w:rsidRDefault="0074086B" w:rsidP="0074086B">
      <w:pPr>
        <w:rPr>
          <w:lang w:val="pt-BR" w:eastAsia="pt-BR"/>
        </w:rPr>
      </w:pPr>
    </w:p>
    <w:p w14:paraId="6FAB8BE5" w14:textId="2376C0CC" w:rsidR="00D52CC5" w:rsidRPr="00D52CC5" w:rsidRDefault="0074086B" w:rsidP="00D52CC5">
      <w:pPr>
        <w:spacing w:after="240" w:line="360" w:lineRule="auto"/>
        <w:rPr>
          <w:rFonts w:ascii="Arial" w:hAnsi="Arial" w:cs="Arial"/>
          <w:szCs w:val="24"/>
          <w:lang w:val="en-US"/>
        </w:rPr>
      </w:pPr>
      <w:r w:rsidRPr="006042AC">
        <w:rPr>
          <w:rFonts w:ascii="Arial" w:hAnsi="Arial" w:cs="Arial"/>
          <w:szCs w:val="24"/>
          <w:lang w:val="pt-BR" w:eastAsia="pt-BR"/>
        </w:rPr>
        <w:t>BARBUCCI, R</w:t>
      </w:r>
      <w:r w:rsidR="00D52CC5" w:rsidRPr="006042AC">
        <w:rPr>
          <w:rFonts w:ascii="Arial" w:hAnsi="Arial" w:cs="Arial"/>
          <w:szCs w:val="24"/>
          <w:lang w:val="pt-BR" w:eastAsia="pt-BR"/>
        </w:rPr>
        <w:t xml:space="preserve">. </w:t>
      </w:r>
      <w:r w:rsidR="00D52CC5" w:rsidRPr="006042AC">
        <w:rPr>
          <w:rStyle w:val="a-size-extra-large"/>
          <w:rFonts w:ascii="Arial" w:hAnsi="Arial" w:cs="Arial"/>
          <w:color w:val="0F1111"/>
          <w:szCs w:val="24"/>
          <w:lang w:val="pt-BR"/>
        </w:rPr>
        <w:t xml:space="preserve">Hydrogels: Biological Properties and Applications. </w:t>
      </w:r>
      <w:r w:rsidR="00D52CC5" w:rsidRPr="0074086B">
        <w:rPr>
          <w:rStyle w:val="a-size-extra-large"/>
          <w:rFonts w:ascii="Arial" w:hAnsi="Arial" w:cs="Arial"/>
          <w:color w:val="0F1111"/>
          <w:szCs w:val="24"/>
          <w:lang w:val="en-US"/>
        </w:rPr>
        <w:t>Springer, 2009.</w:t>
      </w:r>
    </w:p>
    <w:p w14:paraId="2322D45E" w14:textId="24E38423" w:rsidR="00D52CC5" w:rsidRPr="0074086B" w:rsidRDefault="0074086B" w:rsidP="0074086B">
      <w:pPr>
        <w:spacing w:line="360" w:lineRule="auto"/>
        <w:rPr>
          <w:rFonts w:ascii="Arial" w:hAnsi="Arial" w:cs="Arial"/>
          <w:szCs w:val="24"/>
          <w:lang w:val="en-US"/>
        </w:rPr>
      </w:pPr>
      <w:bookmarkStart w:id="0" w:name="_Hlk112328872"/>
      <w:r w:rsidRPr="0074086B">
        <w:rPr>
          <w:rFonts w:ascii="Arial" w:hAnsi="Arial" w:cs="Arial"/>
          <w:szCs w:val="24"/>
          <w:shd w:val="clear" w:color="auto" w:fill="FFFFFF"/>
          <w:lang w:val="en-US" w:eastAsia="pt-BR"/>
        </w:rPr>
        <w:t>BEHRENS, A. M.; CASEY, B. J.; SIKORSKI, M. J.; WU, K. L.; TUTAK, W.; SANDLER, A. D.; KOFINAS, P</w:t>
      </w:r>
      <w:r w:rsidR="00D52CC5" w:rsidRPr="0074086B">
        <w:rPr>
          <w:rFonts w:ascii="Arial" w:hAnsi="Arial" w:cs="Arial"/>
          <w:szCs w:val="24"/>
          <w:shd w:val="clear" w:color="auto" w:fill="FFFFFF"/>
          <w:lang w:val="en-US" w:eastAsia="pt-BR"/>
        </w:rPr>
        <w:t xml:space="preserve">. In Situ Deposition of PLGA Nanofibers via Solution Blow Spinning. ACS Macro Lett., v. 3, n. 3, p. 249−254, feb. 2014. </w:t>
      </w:r>
    </w:p>
    <w:bookmarkEnd w:id="0"/>
    <w:p w14:paraId="0A39DD83" w14:textId="77777777" w:rsidR="00D52CC5" w:rsidRPr="0074086B" w:rsidRDefault="00D52CC5" w:rsidP="00D52CC5">
      <w:pPr>
        <w:spacing w:line="360" w:lineRule="auto"/>
        <w:rPr>
          <w:rFonts w:ascii="Arial" w:hAnsi="Arial" w:cs="Arial"/>
          <w:szCs w:val="24"/>
          <w:lang w:val="en-US" w:eastAsia="pt-BR"/>
        </w:rPr>
      </w:pPr>
    </w:p>
    <w:p w14:paraId="68F3A961" w14:textId="1BA7EC38" w:rsidR="00D52CC5" w:rsidRPr="00D52CC5" w:rsidRDefault="0074086B" w:rsidP="0074086B">
      <w:pPr>
        <w:pStyle w:val="Ttulo1"/>
        <w:shd w:val="clear" w:color="auto" w:fill="FFFFFF"/>
        <w:spacing w:before="0" w:beforeAutospacing="0" w:after="75" w:afterAutospacing="0" w:line="360" w:lineRule="auto"/>
        <w:jc w:val="both"/>
        <w:rPr>
          <w:rStyle w:val="Hyperlink"/>
          <w:rFonts w:ascii="Arial" w:hAnsi="Arial" w:cs="Arial"/>
          <w:sz w:val="24"/>
          <w:szCs w:val="24"/>
          <w:shd w:val="clear" w:color="auto" w:fill="FFFFFF"/>
          <w:lang w:val="en-US"/>
        </w:rPr>
      </w:pPr>
      <w:bookmarkStart w:id="1" w:name="_Hlk112328766"/>
      <w:r w:rsidRPr="0074086B">
        <w:rPr>
          <w:rFonts w:ascii="Arial" w:hAnsi="Arial" w:cs="Arial"/>
          <w:b w:val="0"/>
          <w:bCs w:val="0"/>
          <w:sz w:val="24"/>
          <w:szCs w:val="24"/>
          <w:lang w:val="en-US"/>
        </w:rPr>
        <w:t>DARISTOTLE, J. L; BEHRENS, A. M; SANDLER, A. D.; KOFINAS, P</w:t>
      </w:r>
      <w:r w:rsidR="00D52CC5" w:rsidRPr="0074086B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. A Review </w:t>
      </w:r>
      <w:r w:rsidR="00D52CC5" w:rsidRPr="00D52CC5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of the Fundamental Principles and Applications of Solution Blow Spinning. ACS Appl. Mater. Interfaces, v. 8, n. 51, p. 34951-34963, december 2016. </w:t>
      </w:r>
    </w:p>
    <w:bookmarkEnd w:id="1"/>
    <w:p w14:paraId="66B5D051" w14:textId="77777777" w:rsidR="00D52CC5" w:rsidRPr="00D52CC5" w:rsidRDefault="00D52CC5" w:rsidP="00D52CC5">
      <w:pPr>
        <w:spacing w:line="360" w:lineRule="auto"/>
        <w:rPr>
          <w:rFonts w:ascii="Arial" w:hAnsi="Arial" w:cs="Arial"/>
          <w:szCs w:val="24"/>
          <w:lang w:val="en-US" w:eastAsia="pt-BR"/>
        </w:rPr>
      </w:pPr>
    </w:p>
    <w:p w14:paraId="5B2594CC" w14:textId="2AC69F91" w:rsidR="0074086B" w:rsidRPr="0074086B" w:rsidRDefault="0074086B" w:rsidP="0074086B">
      <w:pPr>
        <w:spacing w:line="360" w:lineRule="auto"/>
        <w:rPr>
          <w:rFonts w:ascii="Arial" w:hAnsi="Arial" w:cs="Arial"/>
          <w:color w:val="000000"/>
          <w:szCs w:val="24"/>
          <w:shd w:val="clear" w:color="auto" w:fill="FFFFFF"/>
          <w:lang w:val="en-US" w:eastAsia="pt-BR"/>
        </w:rPr>
      </w:pPr>
      <w:bookmarkStart w:id="2" w:name="_Hlk112329375"/>
      <w:r w:rsidRPr="0074086B">
        <w:rPr>
          <w:rFonts w:ascii="Arial" w:hAnsi="Arial" w:cs="Arial"/>
          <w:szCs w:val="24"/>
          <w:lang w:val="en-US" w:eastAsia="pt-BR"/>
        </w:rPr>
        <w:t>H</w:t>
      </w:r>
      <w:r w:rsidRPr="0074086B">
        <w:rPr>
          <w:rFonts w:ascii="Arial" w:hAnsi="Arial" w:cs="Arial"/>
          <w:szCs w:val="24"/>
          <w:shd w:val="clear" w:color="auto" w:fill="FFFFFF"/>
          <w:lang w:val="en-US" w:eastAsia="pt-BR"/>
        </w:rPr>
        <w:t>OFFMAN, K.; SKRTIC, D.; SUN, J.; TUTAK, W</w:t>
      </w:r>
      <w:r w:rsidR="00D52CC5" w:rsidRPr="0074086B">
        <w:rPr>
          <w:rFonts w:ascii="Arial" w:hAnsi="Arial" w:cs="Arial"/>
          <w:szCs w:val="24"/>
          <w:shd w:val="clear" w:color="auto" w:fill="FFFFFF"/>
          <w:lang w:val="en-US" w:eastAsia="pt-BR"/>
        </w:rPr>
        <w:t xml:space="preserve">. Airbrushed Composite Polymer Zr-ACP Nanofiber Scaffolds with Improved Cell Penetration for Bone Tissue Regeneration. Tissue Eng. Part C, v. 21, n. 3, p. 284−291, oct. 2014. </w:t>
      </w:r>
      <w:bookmarkEnd w:id="2"/>
    </w:p>
    <w:p w14:paraId="02358B17" w14:textId="77777777" w:rsidR="0074086B" w:rsidRPr="0074086B" w:rsidRDefault="0074086B" w:rsidP="0074086B">
      <w:pPr>
        <w:pStyle w:val="PargrafodaLista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</w:pPr>
    </w:p>
    <w:p w14:paraId="1F503A4C" w14:textId="55DEF05E" w:rsidR="00D52CC5" w:rsidRPr="0074086B" w:rsidRDefault="0074086B" w:rsidP="0074086B">
      <w:pPr>
        <w:spacing w:line="360" w:lineRule="auto"/>
        <w:rPr>
          <w:rFonts w:ascii="Arial" w:hAnsi="Arial" w:cs="Arial"/>
          <w:szCs w:val="24"/>
          <w:lang w:val="en-US" w:eastAsia="pt-BR"/>
        </w:rPr>
      </w:pPr>
      <w:r w:rsidRPr="0074086B">
        <w:rPr>
          <w:rFonts w:ascii="Arial" w:hAnsi="Arial" w:cs="Arial"/>
          <w:color w:val="000000"/>
          <w:szCs w:val="24"/>
          <w:lang w:val="en-US" w:eastAsia="pt-BR"/>
        </w:rPr>
        <w:t xml:space="preserve">MEDEIROS, E. S.; GLENN, G. M.; KLAMCZYNSKI, A. P.; ORTS, W. J.; MATTOSO, L. H. </w:t>
      </w:r>
      <w:r w:rsidR="00D52CC5" w:rsidRPr="0074086B">
        <w:rPr>
          <w:rFonts w:ascii="Arial" w:hAnsi="Arial" w:cs="Arial"/>
          <w:color w:val="000000"/>
          <w:szCs w:val="24"/>
          <w:lang w:val="en-US" w:eastAsia="pt-BR"/>
        </w:rPr>
        <w:t>C. Solution blow spinning: A new method to produce micro- and nanofibers from polymer solutions. J Appl Polym Sci., v. 113, n. 4, p. 2322-2330, April 2019.</w:t>
      </w:r>
    </w:p>
    <w:p w14:paraId="201D9F3B" w14:textId="2508CCE7" w:rsidR="00D52CC5" w:rsidRPr="0074086B" w:rsidRDefault="00D52CC5" w:rsidP="0074086B">
      <w:pPr>
        <w:spacing w:line="360" w:lineRule="auto"/>
        <w:rPr>
          <w:rFonts w:ascii="Arial" w:hAnsi="Arial" w:cs="Arial"/>
          <w:color w:val="536479"/>
          <w:szCs w:val="24"/>
          <w:lang w:val="en-US"/>
        </w:rPr>
      </w:pPr>
    </w:p>
    <w:p w14:paraId="70F77391" w14:textId="77777777" w:rsidR="00D52CC5" w:rsidRPr="00212E4F" w:rsidRDefault="00D52CC5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sectPr w:rsidR="00D52CC5" w:rsidRPr="00212E4F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CA51A" w14:textId="77777777" w:rsidR="00AB034D" w:rsidRDefault="00AB034D" w:rsidP="002455D1">
      <w:pPr>
        <w:spacing w:line="240" w:lineRule="auto"/>
      </w:pPr>
      <w:r>
        <w:separator/>
      </w:r>
    </w:p>
  </w:endnote>
  <w:endnote w:type="continuationSeparator" w:id="0">
    <w:p w14:paraId="5C846890" w14:textId="77777777" w:rsidR="00AB034D" w:rsidRDefault="00AB034D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44A78" w14:textId="35D44AE2"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E4607" w14:textId="77777777" w:rsidR="00AB034D" w:rsidRDefault="00AB034D" w:rsidP="002455D1">
      <w:pPr>
        <w:spacing w:line="240" w:lineRule="auto"/>
      </w:pPr>
      <w:r>
        <w:separator/>
      </w:r>
    </w:p>
  </w:footnote>
  <w:footnote w:type="continuationSeparator" w:id="0">
    <w:p w14:paraId="7FECF919" w14:textId="77777777" w:rsidR="00AB034D" w:rsidRDefault="00AB034D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60288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131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A4388"/>
    <w:multiLevelType w:val="hybridMultilevel"/>
    <w:tmpl w:val="DE7277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2D"/>
    <w:rsid w:val="00001AB2"/>
    <w:rsid w:val="00004F86"/>
    <w:rsid w:val="00007D18"/>
    <w:rsid w:val="000246CD"/>
    <w:rsid w:val="0004036C"/>
    <w:rsid w:val="00040F6E"/>
    <w:rsid w:val="0005563E"/>
    <w:rsid w:val="0006527A"/>
    <w:rsid w:val="00066BB9"/>
    <w:rsid w:val="00090BC6"/>
    <w:rsid w:val="000B32E7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1C6EA7"/>
    <w:rsid w:val="001E49B4"/>
    <w:rsid w:val="001E5014"/>
    <w:rsid w:val="00206FB5"/>
    <w:rsid w:val="002070AD"/>
    <w:rsid w:val="00212E4F"/>
    <w:rsid w:val="002209EC"/>
    <w:rsid w:val="002221A1"/>
    <w:rsid w:val="00235B18"/>
    <w:rsid w:val="002455D1"/>
    <w:rsid w:val="002545A9"/>
    <w:rsid w:val="00256E5A"/>
    <w:rsid w:val="002573F7"/>
    <w:rsid w:val="00260EF3"/>
    <w:rsid w:val="002615FE"/>
    <w:rsid w:val="002827EC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2F7085"/>
    <w:rsid w:val="00321A63"/>
    <w:rsid w:val="00324B0C"/>
    <w:rsid w:val="00330320"/>
    <w:rsid w:val="003404D0"/>
    <w:rsid w:val="00361694"/>
    <w:rsid w:val="00363AC7"/>
    <w:rsid w:val="00367D8F"/>
    <w:rsid w:val="003722AB"/>
    <w:rsid w:val="00384361"/>
    <w:rsid w:val="00393B26"/>
    <w:rsid w:val="003B706E"/>
    <w:rsid w:val="003D1345"/>
    <w:rsid w:val="003E24D6"/>
    <w:rsid w:val="003E2AAE"/>
    <w:rsid w:val="003F2B77"/>
    <w:rsid w:val="004040D5"/>
    <w:rsid w:val="00442AAA"/>
    <w:rsid w:val="004555C8"/>
    <w:rsid w:val="0046519F"/>
    <w:rsid w:val="004915B3"/>
    <w:rsid w:val="004940A8"/>
    <w:rsid w:val="004959A5"/>
    <w:rsid w:val="004C01B1"/>
    <w:rsid w:val="004C0D2B"/>
    <w:rsid w:val="00501A1A"/>
    <w:rsid w:val="00530DCD"/>
    <w:rsid w:val="00560D1A"/>
    <w:rsid w:val="00567C7C"/>
    <w:rsid w:val="005960FA"/>
    <w:rsid w:val="005975D8"/>
    <w:rsid w:val="005A406D"/>
    <w:rsid w:val="005A678E"/>
    <w:rsid w:val="005A7FEB"/>
    <w:rsid w:val="005B78D6"/>
    <w:rsid w:val="005C1F7C"/>
    <w:rsid w:val="005D68C5"/>
    <w:rsid w:val="005F724F"/>
    <w:rsid w:val="0060406E"/>
    <w:rsid w:val="006042AC"/>
    <w:rsid w:val="006125CC"/>
    <w:rsid w:val="006165A3"/>
    <w:rsid w:val="00626836"/>
    <w:rsid w:val="006377B3"/>
    <w:rsid w:val="00647D70"/>
    <w:rsid w:val="00652346"/>
    <w:rsid w:val="006938AB"/>
    <w:rsid w:val="006B21F6"/>
    <w:rsid w:val="006B2926"/>
    <w:rsid w:val="006D304A"/>
    <w:rsid w:val="006D78D1"/>
    <w:rsid w:val="006E3D65"/>
    <w:rsid w:val="006E4F54"/>
    <w:rsid w:val="006F1AB8"/>
    <w:rsid w:val="00712B71"/>
    <w:rsid w:val="00721608"/>
    <w:rsid w:val="00721FF5"/>
    <w:rsid w:val="0074086B"/>
    <w:rsid w:val="007643B7"/>
    <w:rsid w:val="00775DCE"/>
    <w:rsid w:val="0079700A"/>
    <w:rsid w:val="007E1BC3"/>
    <w:rsid w:val="007F6D73"/>
    <w:rsid w:val="007F6E92"/>
    <w:rsid w:val="007F7644"/>
    <w:rsid w:val="00813EAA"/>
    <w:rsid w:val="00830780"/>
    <w:rsid w:val="00855D5A"/>
    <w:rsid w:val="00897F80"/>
    <w:rsid w:val="008B5D2B"/>
    <w:rsid w:val="008C590F"/>
    <w:rsid w:val="008D1966"/>
    <w:rsid w:val="008D1A76"/>
    <w:rsid w:val="008F25DD"/>
    <w:rsid w:val="008F768D"/>
    <w:rsid w:val="00906049"/>
    <w:rsid w:val="0093000A"/>
    <w:rsid w:val="00930549"/>
    <w:rsid w:val="009314EF"/>
    <w:rsid w:val="00940411"/>
    <w:rsid w:val="009411E4"/>
    <w:rsid w:val="00947E8B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9F722F"/>
    <w:rsid w:val="00A04441"/>
    <w:rsid w:val="00A0732D"/>
    <w:rsid w:val="00A27835"/>
    <w:rsid w:val="00A321AB"/>
    <w:rsid w:val="00A56AA2"/>
    <w:rsid w:val="00A74F05"/>
    <w:rsid w:val="00A8734D"/>
    <w:rsid w:val="00A93095"/>
    <w:rsid w:val="00AB034D"/>
    <w:rsid w:val="00AB4610"/>
    <w:rsid w:val="00AF568A"/>
    <w:rsid w:val="00B13C11"/>
    <w:rsid w:val="00B309FE"/>
    <w:rsid w:val="00B44FC5"/>
    <w:rsid w:val="00B50B6C"/>
    <w:rsid w:val="00B75EB8"/>
    <w:rsid w:val="00B76B97"/>
    <w:rsid w:val="00B771EA"/>
    <w:rsid w:val="00B86CEC"/>
    <w:rsid w:val="00B92553"/>
    <w:rsid w:val="00BB086F"/>
    <w:rsid w:val="00BC18D2"/>
    <w:rsid w:val="00BC751B"/>
    <w:rsid w:val="00BC7BE5"/>
    <w:rsid w:val="00BD0E57"/>
    <w:rsid w:val="00BD6F1A"/>
    <w:rsid w:val="00BD7C07"/>
    <w:rsid w:val="00BF2906"/>
    <w:rsid w:val="00BF4C96"/>
    <w:rsid w:val="00C04B26"/>
    <w:rsid w:val="00C1485F"/>
    <w:rsid w:val="00C22033"/>
    <w:rsid w:val="00C539E5"/>
    <w:rsid w:val="00C53B28"/>
    <w:rsid w:val="00C910B7"/>
    <w:rsid w:val="00C91EEC"/>
    <w:rsid w:val="00C944B8"/>
    <w:rsid w:val="00CB512D"/>
    <w:rsid w:val="00CC7BE7"/>
    <w:rsid w:val="00CF4ECE"/>
    <w:rsid w:val="00CF51CA"/>
    <w:rsid w:val="00D07E21"/>
    <w:rsid w:val="00D13A81"/>
    <w:rsid w:val="00D17DDE"/>
    <w:rsid w:val="00D272CA"/>
    <w:rsid w:val="00D44E58"/>
    <w:rsid w:val="00D52CC5"/>
    <w:rsid w:val="00D83783"/>
    <w:rsid w:val="00D871FE"/>
    <w:rsid w:val="00D92608"/>
    <w:rsid w:val="00DA1655"/>
    <w:rsid w:val="00DC48C4"/>
    <w:rsid w:val="00DE3CE8"/>
    <w:rsid w:val="00DE6C59"/>
    <w:rsid w:val="00DE6D78"/>
    <w:rsid w:val="00DE7862"/>
    <w:rsid w:val="00E036A9"/>
    <w:rsid w:val="00E15A68"/>
    <w:rsid w:val="00E26225"/>
    <w:rsid w:val="00E765A9"/>
    <w:rsid w:val="00E92DEF"/>
    <w:rsid w:val="00E93204"/>
    <w:rsid w:val="00E975D2"/>
    <w:rsid w:val="00E97797"/>
    <w:rsid w:val="00EA5B16"/>
    <w:rsid w:val="00EA61DC"/>
    <w:rsid w:val="00EB7440"/>
    <w:rsid w:val="00EC47AB"/>
    <w:rsid w:val="00ED28FB"/>
    <w:rsid w:val="00ED3E9A"/>
    <w:rsid w:val="00ED48F7"/>
    <w:rsid w:val="00EF61A0"/>
    <w:rsid w:val="00F15D5A"/>
    <w:rsid w:val="00F35651"/>
    <w:rsid w:val="00F563C9"/>
    <w:rsid w:val="00F6420B"/>
    <w:rsid w:val="00F66A0A"/>
    <w:rsid w:val="00F877AE"/>
    <w:rsid w:val="00FB336A"/>
    <w:rsid w:val="00FC7D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8D19"/>
  <w15:docId w15:val="{41F28B88-24FD-4BB4-822A-1F01EDC4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paragraph" w:styleId="Ttulo1">
    <w:name w:val="heading 1"/>
    <w:basedOn w:val="Normal"/>
    <w:link w:val="Ttulo1Char"/>
    <w:uiPriority w:val="9"/>
    <w:qFormat/>
    <w:rsid w:val="00D52CC5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52CC5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Fontepargpadro"/>
    <w:rsid w:val="00D52CC5"/>
  </w:style>
  <w:style w:type="character" w:customStyle="1" w:styleId="Ttulo1Char">
    <w:name w:val="Título 1 Char"/>
    <w:basedOn w:val="Fontepargpadro"/>
    <w:link w:val="Ttulo1"/>
    <w:uiPriority w:val="9"/>
    <w:rsid w:val="00D52CC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52C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-size-extra-large">
    <w:name w:val="a-size-extra-large"/>
    <w:basedOn w:val="Fontepargpadro"/>
    <w:rsid w:val="00D52CC5"/>
  </w:style>
  <w:style w:type="paragraph" w:styleId="PargrafodaLista">
    <w:name w:val="List Paragraph"/>
    <w:basedOn w:val="Normal"/>
    <w:uiPriority w:val="34"/>
    <w:qFormat/>
    <w:rsid w:val="00D52CC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Reviso">
    <w:name w:val="Revision"/>
    <w:hidden/>
    <w:uiPriority w:val="99"/>
    <w:semiHidden/>
    <w:rsid w:val="006042AC"/>
    <w:pPr>
      <w:spacing w:after="0" w:line="240" w:lineRule="auto"/>
    </w:pPr>
    <w:rPr>
      <w:rFonts w:ascii="Times" w:eastAsia="Times New Roman" w:hAnsi="Times" w:cs="Times New Roman"/>
      <w:sz w:val="24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FCF-115F-42C6-8F19-C5E0A761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646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Ellen dos Santos</cp:lastModifiedBy>
  <cp:revision>35</cp:revision>
  <dcterms:created xsi:type="dcterms:W3CDTF">2022-09-24T02:19:00Z</dcterms:created>
  <dcterms:modified xsi:type="dcterms:W3CDTF">2022-11-09T01:00:00Z</dcterms:modified>
</cp:coreProperties>
</file>