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rPr/>
      </w:pPr>
      <w:r w:rsidDel="00000000" w:rsidR="00000000" w:rsidRPr="00000000">
        <w:rPr>
          <w:b w:val="1"/>
          <w:rtl w:val="0"/>
        </w:rPr>
        <w:t xml:space="preserve">O PERFIL EPIDEMIOLÓGICO DAS INTERNAÇÕES POR GLAUCOMA EM ALAGOAS, DE 2017 A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240" w:line="240" w:lineRule="auto"/>
        <w:rPr>
          <w:highlight w:val="white"/>
          <w:vertAlign w:val="superscript"/>
        </w:rPr>
      </w:pPr>
      <w:r w:rsidDel="00000000" w:rsidR="00000000" w:rsidRPr="00000000">
        <w:rPr>
          <w:highlight w:val="white"/>
          <w:rtl w:val="0"/>
        </w:rPr>
        <w:t xml:space="preserve">Luciano Feitosa D’Almeida Filho</w:t>
      </w:r>
      <w:r w:rsidDel="00000000" w:rsidR="00000000" w:rsidRPr="00000000">
        <w:rPr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highlight w:val="white"/>
          <w:rtl w:val="0"/>
        </w:rPr>
        <w:t xml:space="preserve">; Milenna Kathlen Maia de Oliveira</w:t>
      </w:r>
      <w:r w:rsidDel="00000000" w:rsidR="00000000" w:rsidRPr="00000000">
        <w:rPr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highlight w:val="white"/>
          <w:rtl w:val="0"/>
        </w:rPr>
        <w:t xml:space="preserve">; Arthur Ricardo Scavuzzi de Carvalho</w:t>
      </w:r>
      <w:r w:rsidDel="00000000" w:rsidR="00000000" w:rsidRPr="00000000">
        <w:rPr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highlight w:val="white"/>
          <w:rtl w:val="0"/>
        </w:rPr>
        <w:t xml:space="preserve">; Janyne Aline Correia de Lima</w:t>
      </w:r>
      <w:r w:rsidDel="00000000" w:rsidR="00000000" w:rsidRPr="00000000">
        <w:rPr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highlight w:val="white"/>
          <w:rtl w:val="0"/>
        </w:rPr>
        <w:t xml:space="preserve">; Bruno Nobre Lins Coronado</w:t>
      </w:r>
      <w:r w:rsidDel="00000000" w:rsidR="00000000" w:rsidRPr="00000000">
        <w:rPr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; Nicolaas Stefan Gosse Vale</w:t>
      </w:r>
      <w:r w:rsidDel="00000000" w:rsidR="00000000" w:rsidRPr="00000000">
        <w:rPr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; Daniela Sampaio Silva Gonçalves</w:t>
      </w:r>
      <w:r w:rsidDel="00000000" w:rsidR="00000000" w:rsidRPr="00000000">
        <w:rPr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highlight w:val="white"/>
        </w:rPr>
      </w:pPr>
      <w:r w:rsidDel="00000000" w:rsidR="00000000" w:rsidRPr="00000000">
        <w:rPr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highlight w:val="white"/>
          <w:rtl w:val="0"/>
        </w:rPr>
        <w:t xml:space="preserve">Discente do Centro Universitário Cesmac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highlight w:val="white"/>
        </w:rPr>
      </w:pPr>
      <w:r w:rsidDel="00000000" w:rsidR="00000000" w:rsidRPr="00000000">
        <w:rPr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highlight w:val="white"/>
          <w:rtl w:val="0"/>
        </w:rPr>
        <w:t xml:space="preserve">Docente do Centro Universitário Cesmac</w:t>
      </w:r>
    </w:p>
    <w:p w:rsidR="00000000" w:rsidDel="00000000" w:rsidP="00000000" w:rsidRDefault="00000000" w:rsidRPr="00000000" w14:paraId="00000005">
      <w:pPr>
        <w:spacing w:after="240" w:before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ofimman@hotmail.com; bruno.coronado@cesmac.edu.br</w:t>
      </w:r>
    </w:p>
    <w:p w:rsidR="00000000" w:rsidDel="00000000" w:rsidP="00000000" w:rsidRDefault="00000000" w:rsidRPr="00000000" w14:paraId="00000006">
      <w:pPr>
        <w:spacing w:after="160" w:before="24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Introdução:</w:t>
      </w:r>
      <w:r w:rsidDel="00000000" w:rsidR="00000000" w:rsidRPr="00000000">
        <w:rPr>
          <w:highlight w:val="white"/>
          <w:rtl w:val="0"/>
        </w:rPr>
        <w:t xml:space="preserve"> O glaucoma é uma neuropatia óptica com repercussão característica no campo visual, classificado como a principal causa de cegueira irreversível e a segunda maior causa de cegueira no mundo, sendo superado somente pela catarata. No Brasil, há escassez de informações quanto à prevalência do glaucoma, fato que veio a estimular o presente estudo.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Objetivo: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Traçar um perfil epidemiológico das internações por glaucoma em Alagoas.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Metodologia:</w:t>
      </w:r>
      <w:r w:rsidDel="00000000" w:rsidR="00000000" w:rsidRPr="00000000">
        <w:rPr>
          <w:highlight w:val="white"/>
          <w:rtl w:val="0"/>
        </w:rPr>
        <w:t xml:space="preserve"> Trata-se de um estudo epidemiológico descritivo, cujos dados foram obtidos por meio de consulta à base de dados do Sistema de Informações Hospitalares do SUS (SIH/SUS), disponibilizados pelo Departamento de Informática do Sistema Único de Saúde (DATASUS), no endereço eletrônico http://www.datasus.gov.br, referentes ao período de 2017 a 2021. A população em estudo foi constituída por indivíduos internados com glaucoma (CID-10: H40, H41 e H42). Os dados obtidos foram organizados em novas tabelas e analisados estatisticamente.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Resultados:</w:t>
      </w:r>
      <w:r w:rsidDel="00000000" w:rsidR="00000000" w:rsidRPr="00000000">
        <w:rPr>
          <w:highlight w:val="white"/>
          <w:rtl w:val="0"/>
        </w:rPr>
        <w:t xml:space="preserve"> Do total de 167 internações por glaucoma no período de 2017 a 2021 em Alagoas, 85,62% foram informados em atendimentos de rotina, ou seja, eletivos. No concernente a faixa etária, os idosos entre 60-69 anos são os mais prevalentes, com 35,92% das internações. Em relação ao gênero, houve confinidade, visto que os homens apresentaram 51,49% enquanto que as mulheres representaram 48,51% dos atendimentos hospitalares. Ademais, a população parda totaliza 88,02% dos indivíduos com glaucoma em Alagoas.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Conclusões:</w:t>
      </w:r>
      <w:r w:rsidDel="00000000" w:rsidR="00000000" w:rsidRPr="00000000">
        <w:rPr>
          <w:highlight w:val="white"/>
          <w:rtl w:val="0"/>
        </w:rPr>
        <w:t xml:space="preserve"> Portanto, o perfil da epidemiologia das internações por glaucoma nos últimos 5 em Alagoas consiste numa patologia em que o diagnóstico foi fornecido no atendimento eletivo, acomete mais idosos do sexo maculino e pardos. Sendo assim, os órgãos da saúde deveriam dar uma maior atenção a esse público mais acometido ao glaucoma com o objetivo da redução dessa realidade.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Palavras-chave: </w:t>
      </w:r>
      <w:r w:rsidDel="00000000" w:rsidR="00000000" w:rsidRPr="00000000">
        <w:rPr>
          <w:highlight w:val="white"/>
          <w:rtl w:val="0"/>
        </w:rPr>
        <w:t xml:space="preserve">Glaucoma. Epidemiologia. Oftalmologia.</w:t>
      </w:r>
    </w:p>
    <w:p w:rsidR="00000000" w:rsidDel="00000000" w:rsidP="00000000" w:rsidRDefault="00000000" w:rsidRPr="00000000" w14:paraId="00000008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240"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REFERÊNCIAS BIBLIOGRÁFICAS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LOUREIRO, Francisco Lucas Bonfim; FÉLIX, Kevin Andrew da Costa. Perfil clínico e epidemiológico dos pacientes com glaucoma atendidos em um ambulatório no interior da Amazônia.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Revista Brasileira de Oftalmologia</w:t>
      </w:r>
      <w:r w:rsidDel="00000000" w:rsidR="00000000" w:rsidRPr="00000000">
        <w:rPr>
          <w:color w:val="222222"/>
          <w:highlight w:val="white"/>
          <w:rtl w:val="0"/>
        </w:rPr>
        <w:t xml:space="preserve">, v. 79, p. 12-20, 2020.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MACHADO, Cristina Morais et al. Perfil clínico epidemiológico dos portadores de glaucoma em um serviço público.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REVISTA CEREUS</w:t>
      </w:r>
      <w:r w:rsidDel="00000000" w:rsidR="00000000" w:rsidRPr="00000000">
        <w:rPr>
          <w:color w:val="222222"/>
          <w:highlight w:val="white"/>
          <w:rtl w:val="0"/>
        </w:rPr>
        <w:t xml:space="preserve">, v. 13, n. 4, p. 121-132, 2021.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OLIVEIRA, Matheus Assimos Silva et al. PERFIL EPIDEMIOLÓGICO: ANÁLISE DAS INTERNAÇÕES HOSPITALARES POR GLAUCOMA NO ESTADO DO RIO DE JANEIRO NO PERÍODO DE 2010 À 2019.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Revista Ibero-Americana de Humanidades, Ciências e Educação</w:t>
      </w:r>
      <w:r w:rsidDel="00000000" w:rsidR="00000000" w:rsidRPr="00000000">
        <w:rPr>
          <w:color w:val="222222"/>
          <w:highlight w:val="white"/>
          <w:rtl w:val="0"/>
        </w:rPr>
        <w:t xml:space="preserve">, v. 8, n. 7, p. 851-862, 2022.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QUEIROZ, Bianca; MOTA, Lívia Oliveira Delgado. O impacto do glaucoma na qualidade de vida: uma revisão sistemática.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Revista de saúde</w:t>
      </w:r>
      <w:r w:rsidDel="00000000" w:rsidR="00000000" w:rsidRPr="00000000">
        <w:rPr>
          <w:color w:val="222222"/>
          <w:highlight w:val="white"/>
          <w:rtl w:val="0"/>
        </w:rPr>
        <w:t xml:space="preserve">, v. 12, n. 2, p. 8-12, 2021.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line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ANDRADE, Marcelo Caetano Hortegal et al. Glaucoma Primário de Ângulo Aberto e Diabetes Mellitus: uma revisão sistemática de aspectos anatômicos e genéticos.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Brazilian Journal of Health Review</w:t>
      </w:r>
      <w:r w:rsidDel="00000000" w:rsidR="00000000" w:rsidRPr="00000000">
        <w:rPr>
          <w:color w:val="222222"/>
          <w:highlight w:val="white"/>
          <w:rtl w:val="0"/>
        </w:rPr>
        <w:t xml:space="preserve">, v. 3, n. 6, p. 19510-19522, 2020.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700.7874015748032" w:left="1700.7874015748032" w:right="1133.8582677165355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b="0" l="0" r="0" t="0"/>
              <wp:wrapNone/>
              <wp:docPr id="7467327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b="0" l="0" r="0" t="0"/>
              <wp:wrapNone/>
              <wp:docPr id="7467327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4110" cy="87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Ind w:w="-115.0" w:type="dxa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8404" cy="537700"/>
                <wp:effectExtent b="0" l="0" r="0" t="0"/>
                <wp:docPr id="7467327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bwHbIFNBfAv2+1s/PYV48Wa1w==">AMUW2mVlc0HmLIAU+74/gRC1zUpOKRpFZIu0Bl6F2T9fiLHw48fzCVALa2AOm+2+nxMhHMxZVFXVCQOIXpIGwscuA+otN7RLvRV/mQ/d2C/EQaxdDuj4/BA=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2022-09-23T15:20:00Z</dcterms:created>
  <dc:creator>Gisa</dc:creator>
</cp:coreProperties>
</file>