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44908" w:rsidP="00C44908" w:rsidRDefault="00C44908" w14:paraId="5EA22A09" w14:textId="77777777">
      <w:pPr>
        <w:pStyle w:val="Cabealho"/>
        <w:jc w:val="center"/>
      </w:pPr>
      <w:r>
        <w:rPr>
          <w:noProof/>
        </w:rPr>
        <w:drawing>
          <wp:inline distT="0" distB="0" distL="0" distR="0" wp14:anchorId="7ACD456E" wp14:editId="2FED7689">
            <wp:extent cx="952439" cy="641438"/>
            <wp:effectExtent l="0" t="0" r="635" b="6350"/>
            <wp:docPr id="746732727" name="Imagem 746732727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32727" name="Imagem 746732727" descr="Texto, 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486" cy="64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908" w:rsidP="00C44908" w:rsidRDefault="00C44908" w14:paraId="0E339601" w14:textId="77777777">
      <w:pPr>
        <w:spacing w:after="160" w:line="240" w:lineRule="auto"/>
        <w:rPr>
          <w:rStyle w:val="normaltextrun"/>
          <w:rFonts w:cs="Arial"/>
          <w:b/>
          <w:bCs/>
          <w:color w:val="000000"/>
          <w:sz w:val="22"/>
          <w:szCs w:val="22"/>
          <w:shd w:val="clear" w:color="auto" w:fill="FFFFFF"/>
        </w:rPr>
      </w:pPr>
    </w:p>
    <w:p w:rsidR="1C2B6A16" w:rsidP="1C2B6A16" w:rsidRDefault="1C2B6A16" w14:paraId="19C955B3" w14:textId="4D5AFDB0">
      <w:pPr>
        <w:pStyle w:val="Normal"/>
        <w:spacing w:after="160" w:line="240" w:lineRule="auto"/>
        <w:rPr>
          <w:rStyle w:val="normaltextrun"/>
          <w:rFonts w:eastAsia="Calibri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C2B6A16" w:rsidR="1C2B6A16">
        <w:rPr>
          <w:rStyle w:val="normaltextrun"/>
          <w:rFonts w:eastAsia="Calibri" w:cs="Arial"/>
          <w:b w:val="1"/>
          <w:bCs w:val="1"/>
          <w:color w:val="000000" w:themeColor="text1" w:themeTint="FF" w:themeShade="FF"/>
          <w:sz w:val="24"/>
          <w:szCs w:val="24"/>
        </w:rPr>
        <w:t xml:space="preserve">DOENÇA DE ALZHEIMER, SÍNDROME DE DOWN E DOSE GÊNICA DA </w:t>
      </w:r>
      <w:r w:rsidRPr="1C2B6A16" w:rsidR="1C2B6A16">
        <w:rPr>
          <w:rStyle w:val="normaltextrun"/>
          <w:rFonts w:eastAsia="Calibri" w:cs="Arial"/>
          <w:b w:val="1"/>
          <w:bCs w:val="1"/>
          <w:color w:val="000000" w:themeColor="text1" w:themeTint="FF" w:themeShade="FF"/>
          <w:sz w:val="24"/>
          <w:szCs w:val="24"/>
        </w:rPr>
        <w:t>PROTEÍNA PRECURSORA DE AMILOIDE: EXISTE</w:t>
      </w:r>
      <w:r w:rsidRPr="1C2B6A16" w:rsidR="1C2B6A16">
        <w:rPr>
          <w:rStyle w:val="normaltextrun"/>
          <w:rFonts w:eastAsia="Calibri" w:cs="Arial"/>
          <w:b w:val="1"/>
          <w:bCs w:val="1"/>
          <w:color w:val="000000" w:themeColor="text1" w:themeTint="FF" w:themeShade="FF"/>
          <w:sz w:val="24"/>
          <w:szCs w:val="24"/>
        </w:rPr>
        <w:t xml:space="preserve"> RELAÇÃO?</w:t>
      </w:r>
    </w:p>
    <w:p w:rsidRPr="00534CB2" w:rsidR="00C44908" w:rsidP="00C44908" w:rsidRDefault="00C44908" w14:paraId="7B7B1669" w14:textId="77777777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>KAYO FELIPE BARBOSA LIMA</w:t>
      </w:r>
      <w:r w:rsidRPr="419BEB8E">
        <w:rPr>
          <w:rFonts w:eastAsia="Calibri" w:cs="Arial"/>
          <w:vertAlign w:val="superscript"/>
        </w:rPr>
        <w:t>1</w:t>
      </w:r>
      <w:r w:rsidRPr="419BEB8E">
        <w:rPr>
          <w:rFonts w:eastAsia="Calibri" w:cs="Arial"/>
          <w:b/>
          <w:bCs/>
        </w:rPr>
        <w:t xml:space="preserve">; </w:t>
      </w:r>
      <w:r>
        <w:rPr>
          <w:rFonts w:eastAsia="Calibri" w:cs="Arial"/>
        </w:rPr>
        <w:t>CAMILE MEDEIROS DE OMENA</w:t>
      </w:r>
      <w:r>
        <w:t>¹</w:t>
      </w:r>
      <w:r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LAURA BEATRIZ MENDES DE MELO</w:t>
      </w:r>
      <w:r>
        <w:t>¹</w:t>
      </w:r>
      <w:r w:rsidRPr="419BEB8E">
        <w:rPr>
          <w:rFonts w:eastAsia="Calibri" w:cs="Arial"/>
        </w:rPr>
        <w:t xml:space="preserve">; </w:t>
      </w:r>
      <w:r>
        <w:rPr>
          <w:rFonts w:eastAsia="Calibri" w:cs="Arial"/>
        </w:rPr>
        <w:t>MARIA HELENA SANTA ROSA BITTENCOURT ARAÚJO</w:t>
      </w:r>
      <w:r>
        <w:t>¹</w:t>
      </w:r>
      <w:r>
        <w:rPr>
          <w:rFonts w:eastAsia="Calibri" w:cs="Arial"/>
        </w:rPr>
        <w:t>; JOÃO VICTOR GOMES NOBRE</w:t>
      </w:r>
      <w:r>
        <w:t>¹; IANN LIMA BARBOSA SILVA¹; KELLY CRISTINA LIRA DE ANDRADE</w:t>
      </w:r>
      <w:r>
        <w:rPr>
          <w:rFonts w:eastAsia="Calibri" w:cs="Arial"/>
          <w:vertAlign w:val="superscript"/>
        </w:rPr>
        <w:t>2</w:t>
      </w:r>
      <w:r>
        <w:rPr>
          <w:rFonts w:eastAsia="Calibri" w:cs="Arial"/>
        </w:rPr>
        <w:t xml:space="preserve">; </w:t>
      </w:r>
    </w:p>
    <w:p w:rsidRPr="00534CB2" w:rsidR="00C44908" w:rsidP="00C44908" w:rsidRDefault="00C44908" w14:paraId="3C17B6C0" w14:textId="77777777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>
        <w:rPr>
          <w:rFonts w:eastAsia="Calibri" w:cs="Arial"/>
        </w:rPr>
        <w:t>Discente de Medicina – Centro Universitário Cesmac</w:t>
      </w:r>
      <w:r w:rsidRPr="50192890">
        <w:rPr>
          <w:rFonts w:eastAsia="Calibri" w:cs="Arial"/>
        </w:rPr>
        <w:t>;</w:t>
      </w:r>
      <w:r w:rsidRPr="50192890">
        <w:rPr>
          <w:rFonts w:eastAsia="Calibri" w:cs="Arial"/>
          <w:vertAlign w:val="superscript"/>
        </w:rPr>
        <w:t xml:space="preserve">2 </w:t>
      </w:r>
      <w:r>
        <w:rPr>
          <w:rFonts w:eastAsia="Calibri" w:cs="Arial"/>
        </w:rPr>
        <w:t xml:space="preserve">Fonoaudióloga graduada pela Universidade Estadual de Ciências da Saúde de Alagoas - </w:t>
      </w:r>
      <w:r>
        <w:t>Doutorado em Biotecnologia em Saúde pela Rede Nordeste De Biotecnologia</w:t>
      </w:r>
      <w:r w:rsidRPr="50192890">
        <w:rPr>
          <w:rFonts w:eastAsia="Calibri" w:cs="Arial"/>
        </w:rPr>
        <w:t>;</w:t>
      </w:r>
    </w:p>
    <w:p w:rsidRPr="00534CB2" w:rsidR="00C44908" w:rsidP="00C44908" w:rsidRDefault="00C44908" w14:paraId="74CAC049" w14:textId="77777777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proofErr w:type="spellStart"/>
      <w:r>
        <w:rPr>
          <w:rFonts w:eastAsia="Calibri" w:cs="Arial"/>
          <w:sz w:val="20"/>
          <w:szCs w:val="20"/>
        </w:rPr>
        <w:t>Kayo</w:t>
      </w:r>
      <w:proofErr w:type="spellEnd"/>
      <w:r>
        <w:rPr>
          <w:rFonts w:eastAsia="Calibri" w:cs="Arial"/>
          <w:sz w:val="20"/>
          <w:szCs w:val="20"/>
        </w:rPr>
        <w:t xml:space="preserve">-Felipe-@hotmail.com; </w:t>
      </w:r>
      <w:r w:rsidRPr="50192890">
        <w:rPr>
          <w:rFonts w:eastAsia="Calibri" w:cs="Arial"/>
          <w:sz w:val="20"/>
          <w:szCs w:val="20"/>
        </w:rPr>
        <w:t>*</w:t>
      </w:r>
      <w:r>
        <w:rPr>
          <w:rFonts w:eastAsia="Calibri" w:cs="Arial"/>
          <w:sz w:val="20"/>
          <w:szCs w:val="20"/>
        </w:rPr>
        <w:t>K</w:t>
      </w:r>
      <w:r w:rsidRPr="00960434">
        <w:rPr>
          <w:rFonts w:eastAsia="Calibri" w:cs="Arial"/>
          <w:sz w:val="20"/>
          <w:szCs w:val="20"/>
        </w:rPr>
        <w:t>ellyclandrade@gmail.com</w:t>
      </w:r>
    </w:p>
    <w:p w:rsidR="00C44908" w:rsidP="00C44908" w:rsidRDefault="00C44908" w14:paraId="213F96E0" w14:textId="77777777">
      <w:pPr>
        <w:spacing w:line="240" w:lineRule="auto"/>
        <w:rPr>
          <w:rFonts w:eastAsia="Calibri" w:cs="Arial"/>
          <w:sz w:val="20"/>
          <w:szCs w:val="20"/>
        </w:rPr>
      </w:pPr>
    </w:p>
    <w:p w:rsidRPr="005E2B5F" w:rsidR="00C44908" w:rsidP="00C44908" w:rsidRDefault="00C44908" w14:paraId="1F8BC7A6" w14:textId="7CABD36F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5E2B5F">
        <w:rPr>
          <w:rFonts w:eastAsia="Calibri" w:cs="Arial"/>
          <w:b w:val="1"/>
          <w:bCs w:val="1"/>
          <w:sz w:val="22"/>
          <w:szCs w:val="22"/>
          <w:u w:val="single"/>
        </w:rPr>
        <w:t>Introdução: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A Síndrome de Down</w:t>
      </w:r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 (SD)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 é uma doença genética</w:t>
      </w:r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causada pela trissomia do cromossomo 21, o que gera antecedentes para pessoas com essa condição desenvolvem diversas doenças </w:t>
      </w:r>
      <w:proofErr w:type="spellStart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multissistêmicas</w:t>
      </w:r>
      <w:proofErr w:type="spellEnd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, como a Doença de Alzheimer</w:t>
      </w:r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 (DA)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. Em torno dos 40 anos, a D</w:t>
      </w:r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oença de Alzheimer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e suas complicações são a principal causa de morte em adultos com S</w:t>
      </w:r>
      <w:r w:rsidRPr="001609A6">
        <w:rPr>
          <w:rStyle w:val="normaltextrun"/>
          <w:rFonts w:cs="Arial"/>
          <w:color w:val="000000"/>
          <w:shd w:val="clear" w:color="auto" w:fill="FFFFFF"/>
        </w:rPr>
        <w:t>índrome de Down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. </w:t>
      </w:r>
      <w:r w:rsidRPr="001609A6">
        <w:rPr>
          <w:rStyle w:val="normaltextrun"/>
          <w:rFonts w:eastAsia="Calibri" w:cs="Arial"/>
          <w:color w:val="000000"/>
        </w:rPr>
        <w:t xml:space="preserve">Isso se deve pela cópia extra do gene da proteína precursora de </w:t>
      </w:r>
      <w:r w:rsidRPr="001609A6">
        <w:rPr>
          <w:rStyle w:val="normaltextrun"/>
          <w:rFonts w:eastAsia="Calibri" w:cs="Arial"/>
          <w:color w:val="000000"/>
        </w:rPr>
        <w:t>amiloide (</w:t>
      </w:r>
      <w:r w:rsidRPr="001609A6">
        <w:rPr>
          <w:rStyle w:val="normaltextrun"/>
          <w:rFonts w:eastAsia="Calibri" w:cs="Arial"/>
          <w:color w:val="000000"/>
        </w:rPr>
        <w:t xml:space="preserve">APP), localizado no cromossomo 21, que gera estruturas fibrosas, chamadas de placas </w:t>
      </w:r>
      <w:proofErr w:type="spellStart"/>
      <w:r w:rsidRPr="001609A6">
        <w:rPr>
          <w:rStyle w:val="normaltextrun"/>
          <w:rFonts w:eastAsia="Calibri" w:cs="Arial"/>
          <w:color w:val="000000"/>
        </w:rPr>
        <w:t>amilóide</w:t>
      </w:r>
      <w:r w:rsidRPr="001609A6">
        <w:rPr>
          <w:rStyle w:val="normaltextrun"/>
          <w:rFonts w:cs="Arial"/>
          <w:color w:val="000000"/>
        </w:rPr>
        <w:t>s</w:t>
      </w:r>
      <w:proofErr w:type="spellEnd"/>
      <w:r w:rsidRPr="001609A6">
        <w:rPr>
          <w:rStyle w:val="normaltextrun"/>
          <w:rFonts w:eastAsia="Calibri" w:cs="Arial"/>
          <w:color w:val="000000"/>
        </w:rPr>
        <w:t>.</w:t>
      </w:r>
      <w:r w:rsidRPr="001609A6">
        <w:rPr>
          <w:rStyle w:val="normaltextrun"/>
          <w:rFonts w:cs="Arial"/>
          <w:color w:val="000000"/>
        </w:rPr>
        <w:t xml:space="preserve"> </w:t>
      </w:r>
      <w:r w:rsidRPr="005E2B5F">
        <w:rPr>
          <w:rFonts w:eastAsia="Calibri" w:cs="Arial"/>
          <w:b w:val="1"/>
          <w:bCs w:val="1"/>
          <w:sz w:val="22"/>
          <w:szCs w:val="22"/>
          <w:u w:val="single"/>
        </w:rPr>
        <w:t>Objetivos:</w:t>
      </w:r>
      <w:r w:rsidRPr="005E2B5F">
        <w:rPr>
          <w:rFonts w:eastAsia="Calibri" w:cs="Arial"/>
          <w:b w:val="1"/>
          <w:bCs w:val="1"/>
          <w:sz w:val="22"/>
          <w:szCs w:val="22"/>
        </w:rPr>
        <w:t xml:space="preserve">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Elucidar a relação entre </w:t>
      </w:r>
      <w:proofErr w:type="gramStart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DA, SD</w:t>
      </w:r>
      <w:proofErr w:type="gramEnd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 e a dose gênica da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APP. </w:t>
      </w:r>
      <w:r w:rsidRPr="005E2B5F">
        <w:rPr>
          <w:rFonts w:eastAsia="Calibri" w:cs="Arial"/>
          <w:b w:val="1"/>
          <w:bCs w:val="1"/>
          <w:sz w:val="22"/>
          <w:szCs w:val="22"/>
          <w:u w:val="single"/>
        </w:rPr>
        <w:t>Métodos</w:t>
      </w:r>
      <w:r w:rsidRPr="005E2B5F">
        <w:rPr>
          <w:rFonts w:eastAsia="Calibri" w:cs="Arial"/>
          <w:b w:val="1"/>
          <w:bCs w:val="1"/>
          <w:sz w:val="22"/>
          <w:szCs w:val="22"/>
          <w:u w:val="single"/>
        </w:rPr>
        <w:t>: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Realizou-se uma revisão de literatura na base de dados Medline via </w:t>
      </w:r>
      <w:proofErr w:type="spellStart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PubMed</w:t>
      </w:r>
      <w:proofErr w:type="spellEnd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, utilizando a estratégia de busca "</w:t>
      </w:r>
      <w:proofErr w:type="spellStart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down</w:t>
      </w:r>
      <w:proofErr w:type="spellEnd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 </w:t>
      </w:r>
      <w:proofErr w:type="spellStart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syndrome</w:t>
      </w:r>
      <w:proofErr w:type="spellEnd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" AND "</w:t>
      </w:r>
      <w:proofErr w:type="spellStart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alzheimer</w:t>
      </w:r>
      <w:proofErr w:type="spellEnd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", como critério de </w:t>
      </w:r>
      <w:r w:rsidRPr="001609A6">
        <w:rPr>
          <w:rStyle w:val="normaltextrun"/>
          <w:rFonts w:eastAsia="Calibri" w:cs="Arial"/>
          <w:color w:val="000000"/>
        </w:rPr>
        <w:t xml:space="preserve">inclusão foram utilizados artigos que abordam a relação entre </w:t>
      </w:r>
      <w:r w:rsidRPr="001609A6">
        <w:rPr>
          <w:rStyle w:val="normaltextrun"/>
          <w:rFonts w:cs="Arial"/>
          <w:color w:val="000000"/>
        </w:rPr>
        <w:t>SD</w:t>
      </w:r>
      <w:r w:rsidRPr="001609A6">
        <w:rPr>
          <w:rStyle w:val="normaltextrun"/>
          <w:rFonts w:eastAsia="Calibri" w:cs="Arial"/>
          <w:color w:val="000000"/>
        </w:rPr>
        <w:t xml:space="preserve"> e</w:t>
      </w:r>
      <w:r w:rsidRPr="001609A6">
        <w:rPr>
          <w:rStyle w:val="normaltextrun"/>
          <w:rFonts w:cs="Arial"/>
          <w:color w:val="000000"/>
        </w:rPr>
        <w:t xml:space="preserve"> </w:t>
      </w:r>
      <w:r w:rsidRPr="001609A6">
        <w:rPr>
          <w:rStyle w:val="normaltextrun"/>
          <w:rFonts w:eastAsia="Calibri" w:cs="Arial"/>
          <w:color w:val="000000"/>
        </w:rPr>
        <w:t>D</w:t>
      </w:r>
      <w:r w:rsidRPr="001609A6">
        <w:rPr>
          <w:rStyle w:val="normaltextrun"/>
          <w:rFonts w:cs="Arial"/>
          <w:color w:val="000000"/>
        </w:rPr>
        <w:t>A</w:t>
      </w:r>
      <w:r w:rsidRPr="001609A6">
        <w:rPr>
          <w:rStyle w:val="normaltextrun"/>
          <w:rFonts w:eastAsia="Calibri" w:cs="Arial"/>
          <w:color w:val="000000"/>
        </w:rPr>
        <w:t xml:space="preserve">; como critérios de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exclusão foram utilizados artigos que não tinham menção ao gene APP ou as placas </w:t>
      </w:r>
      <w:proofErr w:type="spellStart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amilóides</w:t>
      </w:r>
      <w:proofErr w:type="spellEnd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; foram filtrados artigos publicados nos últimos cinco anos e textos completos gratuitos, sem restrição de idioma; para seleção dos artigos leu-se títulos, resumos e textos completos.</w:t>
      </w:r>
      <w:r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 w:val="1"/>
          <w:bCs w:val="1"/>
          <w:sz w:val="22"/>
          <w:szCs w:val="22"/>
          <w:u w:val="single"/>
        </w:rPr>
        <w:t>Resultados:</w:t>
      </w:r>
      <w:r>
        <w:rPr>
          <w:rFonts w:eastAsia="Calibri" w:cs="Arial"/>
          <w:sz w:val="22"/>
          <w:szCs w:val="22"/>
        </w:rPr>
        <w:t xml:space="preserve">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Foram encontrados, após ativação do filtro de </w:t>
      </w:r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cinco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anos e de textos completos gratuitos</w:t>
      </w:r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,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452 artigos. Destes,</w:t>
      </w:r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foram eliminados 424 durante a leitura do título, 15 na leitura dos resumos e </w:t>
      </w:r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sete n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a leitura dos artigos</w:t>
      </w:r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completos</w:t>
      </w:r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, 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restando seis</w:t>
      </w:r>
      <w:r w:rsidRPr="001609A6">
        <w:rPr>
          <w:rStyle w:val="normaltextrun"/>
          <w:rFonts w:eastAsia="Calibri" w:cs="Arial"/>
          <w:color w:val="000000"/>
        </w:rPr>
        <w:t xml:space="preserve"> para a revisão. Verificou-se que o evento da </w:t>
      </w:r>
      <w:proofErr w:type="spellStart"/>
      <w:r w:rsidRPr="001609A6">
        <w:rPr>
          <w:rStyle w:val="normaltextrun"/>
          <w:rFonts w:eastAsia="Calibri" w:cs="Arial"/>
          <w:color w:val="000000"/>
        </w:rPr>
        <w:t>superexpressão</w:t>
      </w:r>
      <w:proofErr w:type="spellEnd"/>
      <w:r w:rsidRPr="001609A6">
        <w:rPr>
          <w:rStyle w:val="normaltextrun"/>
          <w:rFonts w:eastAsia="Calibri" w:cs="Arial"/>
          <w:color w:val="000000"/>
        </w:rPr>
        <w:t xml:space="preserve"> do 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gene APP, localizado no cromossomo 21, é responsável por induzir </w:t>
      </w:r>
      <w:r w:rsidRPr="001609A6">
        <w:rPr>
          <w:rStyle w:val="normaltextrun"/>
          <w:rFonts w:cs="Arial"/>
          <w:color w:val="000000"/>
          <w:shd w:val="clear" w:color="auto" w:fill="FFFFFF"/>
        </w:rPr>
        <w:t>DA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 em pessoas com S</w:t>
      </w:r>
      <w:r w:rsidRPr="001609A6">
        <w:rPr>
          <w:rStyle w:val="normaltextrun"/>
          <w:rFonts w:cs="Arial"/>
          <w:color w:val="000000"/>
          <w:shd w:val="clear" w:color="auto" w:fill="FFFFFF"/>
        </w:rPr>
        <w:t>D</w:t>
      </w:r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 xml:space="preserve">, pois com o acúmulo de peptídeo </w:t>
      </w:r>
      <w:proofErr w:type="spellStart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amilóide</w:t>
      </w:r>
      <w:proofErr w:type="spellEnd"/>
      <w:r w:rsidRPr="001609A6">
        <w:rPr>
          <w:rStyle w:val="normaltextrun"/>
          <w:rFonts w:eastAsia="Calibri" w:cs="Arial"/>
          <w:color w:val="000000"/>
          <w:shd w:val="clear" w:color="auto" w:fill="FFFFFF"/>
        </w:rPr>
        <w:t>-</w:t>
      </w:r>
      <w:r w:rsidRPr="001609A6">
        <w:rPr>
          <w:rStyle w:val="normaltextrun"/>
          <w:rFonts w:eastAsia="Calibri" w:cs="Arial"/>
          <w:color w:val="000000"/>
        </w:rPr>
        <w:t xml:space="preserve">β, há formação de placas </w:t>
      </w:r>
      <w:proofErr w:type="spellStart"/>
      <w:r w:rsidRPr="001609A6">
        <w:rPr>
          <w:rStyle w:val="normaltextrun"/>
          <w:rFonts w:eastAsia="Calibri" w:cs="Arial"/>
          <w:color w:val="000000"/>
        </w:rPr>
        <w:t>amilóides</w:t>
      </w:r>
      <w:proofErr w:type="spellEnd"/>
      <w:r w:rsidRPr="001609A6">
        <w:rPr>
          <w:rStyle w:val="normaltextrun"/>
          <w:rFonts w:eastAsia="Calibri" w:cs="Arial"/>
          <w:color w:val="000000"/>
        </w:rPr>
        <w:t>, causadoras da </w:t>
      </w:r>
      <w:proofErr w:type="spellStart"/>
      <w:r w:rsidRPr="001609A6">
        <w:rPr>
          <w:rStyle w:val="normaltextrun"/>
          <w:rFonts w:eastAsia="Calibri" w:cs="Arial"/>
          <w:color w:val="000000"/>
        </w:rPr>
        <w:t>neuroinflamação</w:t>
      </w:r>
      <w:proofErr w:type="spellEnd"/>
      <w:r w:rsidRPr="001609A6">
        <w:rPr>
          <w:rStyle w:val="normaltextrun"/>
          <w:rFonts w:eastAsia="Calibri" w:cs="Arial"/>
          <w:color w:val="000000"/>
        </w:rPr>
        <w:t xml:space="preserve"> e da destruição </w:t>
      </w:r>
      <w:r w:rsidRPr="001609A6">
        <w:rPr>
          <w:rStyle w:val="normaltextrun"/>
          <w:rFonts w:cs="Arial"/>
          <w:color w:val="000000"/>
        </w:rPr>
        <w:t xml:space="preserve">da </w:t>
      </w:r>
      <w:r w:rsidRPr="001609A6">
        <w:rPr>
          <w:rStyle w:val="normaltextrun"/>
          <w:rFonts w:eastAsia="Calibri" w:cs="Arial"/>
          <w:color w:val="000000"/>
        </w:rPr>
        <w:t>conectividade neuronal</w:t>
      </w:r>
      <w:r w:rsidRPr="001609A6">
        <w:rPr>
          <w:rStyle w:val="normaltextrun"/>
          <w:rFonts w:cs="Arial"/>
          <w:color w:val="000000"/>
        </w:rPr>
        <w:t xml:space="preserve"> </w:t>
      </w:r>
      <w:r w:rsidRPr="001609A6">
        <w:rPr>
          <w:rStyle w:val="normaltextrun"/>
          <w:rFonts w:cs="Arial"/>
          <w:color w:val="000000" w:themeColor="text1"/>
        </w:rPr>
        <w:t xml:space="preserve">e, assim, </w:t>
      </w:r>
      <w:r w:rsidRPr="001609A6">
        <w:rPr>
          <w:rStyle w:val="normaltextrun"/>
          <w:rFonts w:cs="Arial"/>
          <w:color w:val="000000"/>
        </w:rPr>
        <w:t>ocorre a</w:t>
      </w:r>
      <w:r w:rsidRPr="001609A6">
        <w:rPr>
          <w:rStyle w:val="normaltextrun"/>
          <w:rFonts w:eastAsia="Calibri" w:cs="Arial"/>
          <w:color w:val="000000"/>
        </w:rPr>
        <w:t xml:space="preserve"> morte de células neuronais,</w:t>
      </w:r>
      <w:r w:rsidRPr="001609A6">
        <w:rPr>
          <w:rStyle w:val="normaltextrun"/>
          <w:rFonts w:cs="Arial"/>
          <w:color w:val="000000"/>
        </w:rPr>
        <w:t xml:space="preserve"> </w:t>
      </w:r>
      <w:r w:rsidRPr="001609A6">
        <w:rPr>
          <w:rStyle w:val="normaltextrun"/>
          <w:rFonts w:eastAsia="Calibri" w:cs="Arial"/>
          <w:color w:val="000000"/>
        </w:rPr>
        <w:t>amplifica</w:t>
      </w:r>
      <w:r w:rsidRPr="001609A6">
        <w:rPr>
          <w:rStyle w:val="normaltextrun"/>
          <w:rFonts w:cs="Arial"/>
          <w:color w:val="000000"/>
        </w:rPr>
        <w:t>ndo</w:t>
      </w:r>
      <w:r w:rsidRPr="001609A6">
        <w:rPr>
          <w:rStyle w:val="normaltextrun"/>
          <w:rFonts w:eastAsia="Calibri" w:cs="Arial"/>
          <w:color w:val="000000"/>
        </w:rPr>
        <w:t xml:space="preserve"> a vulnerabilidade à Doença de Alzheimer. </w:t>
      </w:r>
      <w:r w:rsidRPr="005E2B5F">
        <w:rPr>
          <w:rFonts w:eastAsia="Calibri" w:cs="Arial"/>
          <w:b w:val="1"/>
          <w:bCs w:val="1"/>
          <w:sz w:val="22"/>
          <w:szCs w:val="22"/>
          <w:u w:val="single"/>
        </w:rPr>
        <w:t>Conclusões:</w:t>
      </w:r>
      <w:r w:rsidRPr="005E2B5F">
        <w:rPr>
          <w:rFonts w:eastAsia="Calibri" w:cs="Arial"/>
          <w:sz w:val="22"/>
          <w:szCs w:val="22"/>
        </w:rPr>
        <w:t xml:space="preserve"> </w:t>
      </w:r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Logo, essa revisão de literatura demonstra a relação entre a SD e DA, uma vez que a </w:t>
      </w:r>
      <w:proofErr w:type="spellStart"/>
      <w:r w:rsidRPr="001609A6">
        <w:rPr>
          <w:rStyle w:val="normaltextrun"/>
          <w:rFonts w:cs="Arial"/>
          <w:color w:val="000000"/>
          <w:shd w:val="clear" w:color="auto" w:fill="FFFFFF"/>
        </w:rPr>
        <w:t>superexpressão</w:t>
      </w:r>
      <w:proofErr w:type="spellEnd"/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 do gene APP, localizado no cromossomo 21, forma placas </w:t>
      </w:r>
      <w:proofErr w:type="spellStart"/>
      <w:r w:rsidRPr="001609A6">
        <w:rPr>
          <w:rStyle w:val="normaltextrun"/>
          <w:rFonts w:cs="Arial"/>
          <w:color w:val="000000"/>
          <w:shd w:val="clear" w:color="auto" w:fill="FFFFFF"/>
        </w:rPr>
        <w:t>amilóides</w:t>
      </w:r>
      <w:proofErr w:type="spellEnd"/>
      <w:r w:rsidRPr="001609A6">
        <w:rPr>
          <w:rStyle w:val="normaltextrun"/>
          <w:rFonts w:cs="Arial"/>
          <w:color w:val="000000"/>
          <w:shd w:val="clear" w:color="auto" w:fill="FFFFFF"/>
        </w:rPr>
        <w:t xml:space="preserve"> que são responsáveis por causar a morte dos neurônios, sendo biomarcadores da Doença de Alzheimer. Assim, cerca de 90% de indivíduos com SD estão sujeitos a desenvolverem DA, sendo a principal causa de morte dessa população.</w:t>
      </w:r>
    </w:p>
    <w:p w:rsidRPr="00CA3E5C" w:rsidR="00C44908" w:rsidP="00C44908" w:rsidRDefault="00C44908" w14:paraId="5076EE97" w14:textId="77777777">
      <w:pPr>
        <w:spacing w:after="160" w:line="240" w:lineRule="auto"/>
        <w:rPr>
          <w:rFonts w:eastAsia="Calibri" w:cs="Arial"/>
          <w:lang w:eastAsia="en-US"/>
        </w:rPr>
      </w:pP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Pr="00CA3E5C">
        <w:rPr>
          <w:rStyle w:val="normaltextrun"/>
          <w:rFonts w:eastAsia="Calibri" w:cs="Arial"/>
          <w:color w:val="000000"/>
          <w:shd w:val="clear" w:color="auto" w:fill="FFFFFF"/>
        </w:rPr>
        <w:t xml:space="preserve">Síndrome de Down. Doença de Alzheimer. Placas </w:t>
      </w:r>
      <w:proofErr w:type="spellStart"/>
      <w:r w:rsidRPr="00CA3E5C">
        <w:rPr>
          <w:rStyle w:val="normaltextrun"/>
          <w:rFonts w:eastAsia="Calibri" w:cs="Arial"/>
          <w:color w:val="000000"/>
          <w:shd w:val="clear" w:color="auto" w:fill="FFFFFF"/>
        </w:rPr>
        <w:t>Amilóides</w:t>
      </w:r>
      <w:proofErr w:type="spellEnd"/>
      <w:r w:rsidRPr="00CA3E5C">
        <w:rPr>
          <w:rStyle w:val="normaltextrun"/>
          <w:rFonts w:eastAsia="Calibri" w:cs="Arial"/>
          <w:color w:val="000000"/>
          <w:shd w:val="clear" w:color="auto" w:fill="FFFFFF"/>
        </w:rPr>
        <w:t>.</w:t>
      </w:r>
    </w:p>
    <w:p w:rsidR="00C44908" w:rsidP="00C44908" w:rsidRDefault="00C44908" w14:paraId="3A884EE7" w14:textId="7DABF509">
      <w:pPr>
        <w:spacing w:after="160" w:line="240" w:lineRule="auto"/>
        <w:rPr>
          <w:rFonts w:eastAsia="Calibri" w:cs="Arial"/>
          <w:sz w:val="22"/>
          <w:szCs w:val="22"/>
        </w:rPr>
      </w:pPr>
      <w:r w:rsidRPr="00E12960">
        <w:rPr>
          <w:rFonts w:cs="Arial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93D10" wp14:editId="65D859BD">
                <wp:simplePos x="0" y="0"/>
                <wp:positionH relativeFrom="column">
                  <wp:posOffset>628650</wp:posOffset>
                </wp:positionH>
                <wp:positionV relativeFrom="paragraph">
                  <wp:posOffset>589301</wp:posOffset>
                </wp:positionV>
                <wp:extent cx="6195060" cy="68580"/>
                <wp:effectExtent l="0" t="0" r="0" b="762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style="position:absolute;margin-left:49.5pt;margin-top:46.4pt;width:487.8pt;height: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02e" stroked="f" strokeweight="1pt" w14:anchorId="1D4A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izpKKd8AAAAKAQAADwAAAGRycy9kb3ducmV2LnhtbEyPwU7DMBBE70j8g7VI3KjdgEKbxqmg&#10;EgeaXlqQuLqxG0fE6yh20vD3bE5w2l3NaPZNvp1cy0bTh8ajhOVCADNYed1gLeHz4+1hBSxEhVq1&#10;Ho2EHxNgW9ze5CrT/opHM55izSgEQ6Yk2Bi7jPNQWeNUWPjOIGkX3zsV6exrrnt1pXDX8kSIlDvV&#10;IH2wqjM7a6rv0+AkiF3phlVIk7Lcvx/37vA6Lr+slPd308sGWDRT/DPDjE/oUBDT2Q+oA2slrNdU&#10;JdJMqMGsi+enFNh53h5T4EXO/1cofgEAAP//AwBQSwECLQAUAAYACAAAACEAtoM4kv4AAADhAQAA&#10;EwAAAAAAAAAAAAAAAAAAAAAAW0NvbnRlbnRfVHlwZXNdLnhtbFBLAQItABQABgAIAAAAIQA4/SH/&#10;1gAAAJQBAAALAAAAAAAAAAAAAAAAAC8BAABfcmVscy8ucmVsc1BLAQItABQABgAIAAAAIQDxrNBC&#10;gQIAAF4FAAAOAAAAAAAAAAAAAAAAAC4CAABkcnMvZTJvRG9jLnhtbFBLAQItABQABgAIAAAAIQCL&#10;Okop3wAAAAoBAAAPAAAAAAAAAAAAAAAAANsEAABkcnMvZG93bnJldi54bWxQSwUGAAAAAAQABADz&#10;AAAA5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F79A14" wp14:editId="30DEB2C1">
                <wp:simplePos x="0" y="0"/>
                <wp:positionH relativeFrom="margin">
                  <wp:posOffset>-1567549</wp:posOffset>
                </wp:positionH>
                <wp:positionV relativeFrom="paragraph">
                  <wp:posOffset>589567</wp:posOffset>
                </wp:positionV>
                <wp:extent cx="6195060" cy="68580"/>
                <wp:effectExtent l="0" t="0" r="0" b="762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style="position:absolute;margin-left:-123.45pt;margin-top:46.4pt;width:487.8pt;height:5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f7c02e" stroked="f" strokeweight="1pt" w14:anchorId="60725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aZQnfuAAAAALAQAADwAAAGRycy9kb3ducmV2LnhtbEyPwU7DMBBE70j8g7VI3Fq7AaVpGqeC&#10;ShxouLQg9erGSxwR21HspOHvWU5wXO3TzJtiN9uOTTiE1jsJq6UAhq72unWNhI/3l0UGLETltOq8&#10;QwnfGGBX3t4UKtf+6o44nWLDKMSFXEkwMfY556E2aFVY+h4d/T79YFWkc2i4HtSVwm3HEyFSblXr&#10;qMGoHvcG66/TaCWIfWXHLKRJVR1ejwf79jytzkbK+7v5aQss4hz/YPjVJ3UoyeniR6cD6yQsksd0&#10;Q6yETUIbiFgn2RrYhVDxkAIvC/5/Q/kDAAD//wMAUEsBAi0AFAAGAAgAAAAhALaDOJL+AAAA4QEA&#10;ABMAAAAAAAAAAAAAAAAAAAAAAFtDb250ZW50X1R5cGVzXS54bWxQSwECLQAUAAYACAAAACEAOP0h&#10;/9YAAACUAQAACwAAAAAAAAAAAAAAAAAvAQAAX3JlbHMvLnJlbHNQSwECLQAUAAYACAAAACEA8azQ&#10;QoECAABeBQAADgAAAAAAAAAAAAAAAAAuAgAAZHJzL2Uyb0RvYy54bWxQSwECLQAUAAYACAAAACEA&#10;aZQnfuAAAAALAQAADwAAAAAAAAAAAAAAAADbBAAAZHJzL2Rvd25yZXYueG1sUEsFBgAAAAAEAAQA&#10;8wAAAOgFAAAAAA==&#10;">
                <w10:wrap anchorx="margin"/>
              </v:rect>
            </w:pict>
          </mc:Fallback>
        </mc:AlternateContent>
      </w:r>
    </w:p>
    <w:p w:rsidR="00C44908" w:rsidP="00C44908" w:rsidRDefault="00C44908" w14:paraId="1A47B70E" w14:textId="77777777">
      <w:pPr>
        <w:pStyle w:val="Cabealho"/>
        <w:jc w:val="center"/>
      </w:pPr>
    </w:p>
    <w:p w:rsidR="00C44908" w:rsidP="00C44908" w:rsidRDefault="00C44908" w14:paraId="4C466455" w14:textId="77777777">
      <w:pPr>
        <w:spacing w:after="160" w:line="240" w:lineRule="auto"/>
        <w:jc w:val="center"/>
        <w:rPr>
          <w:rFonts w:eastAsia="Calibri" w:cs="Arial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A7C6682" wp14:editId="4175859C">
            <wp:extent cx="952439" cy="641438"/>
            <wp:effectExtent l="0" t="0" r="635" b="635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486" cy="64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2B5F" w:rsidR="00C44908" w:rsidP="00C44908" w:rsidRDefault="00C44908" w14:paraId="4383FF53" w14:textId="77777777">
      <w:pPr>
        <w:spacing w:after="160" w:line="240" w:lineRule="auto"/>
        <w:jc w:val="center"/>
        <w:rPr>
          <w:rFonts w:eastAsia="Calibri" w:cs="Arial"/>
          <w:sz w:val="22"/>
          <w:szCs w:val="22"/>
          <w:lang w:eastAsia="en-US"/>
        </w:rPr>
      </w:pPr>
    </w:p>
    <w:p w:rsidR="00C44908" w:rsidP="00C44908" w:rsidRDefault="00C44908" w14:paraId="39E6E2F4" w14:textId="77777777">
      <w:pPr>
        <w:spacing w:line="240" w:lineRule="auto"/>
        <w:jc w:val="left"/>
        <w:rPr>
          <w:rFonts w:cs="Arial"/>
          <w:b/>
          <w:bCs/>
        </w:rPr>
      </w:pPr>
      <w:r>
        <w:rPr>
          <w:rFonts w:cs="Arial"/>
        </w:rPr>
        <w:tab/>
      </w:r>
      <w:r w:rsidRPr="419BEB8E">
        <w:rPr>
          <w:rFonts w:cs="Arial"/>
          <w:b/>
          <w:bCs/>
        </w:rPr>
        <w:t>REFERÊNCIAS BIBLIOGRÁFICAS</w:t>
      </w:r>
    </w:p>
    <w:p w:rsidRPr="00C44908" w:rsidR="00C44908" w:rsidP="00C44908" w:rsidRDefault="00C44908" w14:paraId="699D6F46" w14:textId="4CBF7B34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Comparison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CSF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biomarkers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in Down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syndrome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autosomal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dominant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Alzheimer’s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disease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: a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cross-sectional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study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>. </w:t>
      </w:r>
      <w:r w:rsidRPr="00C44908">
        <w:rPr>
          <w:rStyle w:val="Forte"/>
          <w:rFonts w:ascii="Arial" w:hAnsi="Arial" w:cs="Arial"/>
          <w:color w:val="000000"/>
          <w:sz w:val="20"/>
          <w:szCs w:val="20"/>
        </w:rPr>
        <w:t xml:space="preserve">The Lancet </w:t>
      </w:r>
      <w:proofErr w:type="spellStart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>Neurology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>, v. 20, n. 8, p. 615–626, 1 ago. 2021.</w:t>
      </w:r>
    </w:p>
    <w:p w:rsidRPr="00C44908" w:rsidR="00C44908" w:rsidP="00C44908" w:rsidRDefault="00C44908" w14:paraId="58731361" w14:textId="68E65108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C44908">
        <w:rPr>
          <w:rFonts w:ascii="Arial" w:hAnsi="Arial" w:cs="Arial"/>
          <w:color w:val="000000"/>
          <w:sz w:val="20"/>
          <w:szCs w:val="20"/>
        </w:rPr>
        <w:t xml:space="preserve">FORTEA, J. et al.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Clinical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biomarker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changes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Alzheimer’s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disease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adults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with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Down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syndrome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: a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cross-sectional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study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>. </w:t>
      </w:r>
      <w:r w:rsidRPr="00C44908">
        <w:rPr>
          <w:rStyle w:val="Forte"/>
          <w:rFonts w:ascii="Arial" w:hAnsi="Arial" w:cs="Arial"/>
          <w:color w:val="000000"/>
          <w:sz w:val="20"/>
          <w:szCs w:val="20"/>
        </w:rPr>
        <w:t>The Lancet</w:t>
      </w:r>
      <w:r w:rsidRPr="00C44908">
        <w:rPr>
          <w:rFonts w:ascii="Arial" w:hAnsi="Arial" w:cs="Arial"/>
          <w:color w:val="000000"/>
          <w:sz w:val="20"/>
          <w:szCs w:val="20"/>
        </w:rPr>
        <w:t>, v. 395, n. 10242, p. 1988–1997, jun. 2020.</w:t>
      </w:r>
    </w:p>
    <w:p w:rsidRPr="00C44908" w:rsidR="00C44908" w:rsidP="00C44908" w:rsidRDefault="00C44908" w14:paraId="66BF8342" w14:textId="6A4DC03F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C44908">
        <w:rPr>
          <w:rFonts w:ascii="Arial" w:hAnsi="Arial" w:cs="Arial"/>
          <w:color w:val="000000"/>
          <w:sz w:val="20"/>
          <w:szCs w:val="20"/>
        </w:rPr>
        <w:t xml:space="preserve">GOMEZ, W. et al. Down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syndrome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Alzheimer’s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disease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: common molecular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traits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beyond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amyloid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precursor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protein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>. </w:t>
      </w:r>
      <w:proofErr w:type="spellStart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>Aging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>, v. 12, n. 1, p. 1011–1033, 9 jan. 2020.</w:t>
      </w:r>
    </w:p>
    <w:p w:rsidRPr="00C44908" w:rsidR="00C44908" w:rsidP="00C44908" w:rsidRDefault="00C44908" w14:paraId="0D02963F" w14:textId="5052129B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C44908">
        <w:rPr>
          <w:rFonts w:ascii="Arial" w:hAnsi="Arial" w:cs="Arial"/>
          <w:color w:val="000000"/>
          <w:sz w:val="20"/>
          <w:szCs w:val="20"/>
        </w:rPr>
        <w:t xml:space="preserve">HANDEN, B. L. et al. The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Alzheimer’s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Biomarker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Consortium</w:t>
      </w:r>
      <w:r w:rsidRPr="00C44908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44908">
        <w:rPr>
          <w:rFonts w:ascii="Arial" w:hAnsi="Arial" w:cs="Arial"/>
          <w:color w:val="000000"/>
          <w:sz w:val="20"/>
          <w:szCs w:val="20"/>
        </w:rPr>
        <w:t xml:space="preserve">Down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Syndrome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Rationale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methodology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>. </w:t>
      </w:r>
      <w:proofErr w:type="spellStart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>Alzheimer’s</w:t>
      </w:r>
      <w:proofErr w:type="spellEnd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 xml:space="preserve"> &amp; </w:t>
      </w:r>
      <w:proofErr w:type="spellStart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>Dementia</w:t>
      </w:r>
      <w:proofErr w:type="spellEnd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>Diagnosis</w:t>
      </w:r>
      <w:proofErr w:type="spellEnd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 xml:space="preserve">, Assessment &amp; </w:t>
      </w:r>
      <w:proofErr w:type="spellStart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>Disease</w:t>
      </w:r>
      <w:proofErr w:type="spellEnd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>Monitoring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>, v. 12, n. 1, jan. 2020.</w:t>
      </w:r>
    </w:p>
    <w:p w:rsidRPr="00C44908" w:rsidR="00C44908" w:rsidP="00C44908" w:rsidRDefault="00C44908" w14:paraId="45A51F1D" w14:textId="36098D24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C44908">
        <w:rPr>
          <w:rFonts w:ascii="Arial" w:hAnsi="Arial" w:cs="Arial"/>
          <w:color w:val="000000"/>
          <w:sz w:val="20"/>
          <w:szCs w:val="20"/>
        </w:rPr>
        <w:t xml:space="preserve">PAVARINO, É. et al.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Alzheimer’s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Disease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Down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Syndrome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Overview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Genetics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Molecular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Aspects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>. </w:t>
      </w:r>
      <w:proofErr w:type="spellStart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>Neurology</w:t>
      </w:r>
      <w:proofErr w:type="spellEnd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Style w:val="Forte"/>
          <w:rFonts w:ascii="Arial" w:hAnsi="Arial" w:cs="Arial"/>
          <w:color w:val="000000"/>
          <w:sz w:val="20"/>
          <w:szCs w:val="20"/>
        </w:rPr>
        <w:t>India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>, v. 69, n. 1, p. 32, 2021.</w:t>
      </w:r>
    </w:p>
    <w:p w:rsidRPr="00C44908" w:rsidR="00C44908" w:rsidP="00C44908" w:rsidRDefault="00C44908" w14:paraId="3D828F74" w14:textId="77777777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 w:rsidRPr="00C44908">
        <w:rPr>
          <w:rFonts w:ascii="Arial" w:hAnsi="Arial" w:cs="Arial"/>
          <w:color w:val="000000"/>
          <w:sz w:val="20"/>
          <w:szCs w:val="20"/>
        </w:rPr>
        <w:t xml:space="preserve">SHARMA, A. et al. Common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genetic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signatures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Alzheimer’s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disease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 xml:space="preserve"> in Down </w:t>
      </w:r>
      <w:proofErr w:type="spellStart"/>
      <w:r w:rsidRPr="00C44908">
        <w:rPr>
          <w:rFonts w:ascii="Arial" w:hAnsi="Arial" w:cs="Arial"/>
          <w:color w:val="000000"/>
          <w:sz w:val="20"/>
          <w:szCs w:val="20"/>
        </w:rPr>
        <w:t>Syndrome</w:t>
      </w:r>
      <w:proofErr w:type="spellEnd"/>
      <w:r w:rsidRPr="00C44908">
        <w:rPr>
          <w:rFonts w:ascii="Arial" w:hAnsi="Arial" w:cs="Arial"/>
          <w:color w:val="000000"/>
          <w:sz w:val="20"/>
          <w:szCs w:val="20"/>
        </w:rPr>
        <w:t>. </w:t>
      </w:r>
      <w:r w:rsidRPr="00C44908">
        <w:rPr>
          <w:rStyle w:val="Forte"/>
          <w:rFonts w:ascii="Arial" w:hAnsi="Arial" w:cs="Arial"/>
          <w:color w:val="000000"/>
          <w:sz w:val="20"/>
          <w:szCs w:val="20"/>
        </w:rPr>
        <w:t>F1000Research</w:t>
      </w:r>
      <w:r w:rsidRPr="00C44908">
        <w:rPr>
          <w:rFonts w:ascii="Arial" w:hAnsi="Arial" w:cs="Arial"/>
          <w:color w:val="000000"/>
          <w:sz w:val="20"/>
          <w:szCs w:val="20"/>
        </w:rPr>
        <w:t>, v. 9, p. 1299, 25 out. 2021.</w:t>
      </w:r>
    </w:p>
    <w:p w:rsidR="00C44908" w:rsidP="00C44908" w:rsidRDefault="00C44908" w14:paraId="54C6289C" w14:textId="7777777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:rsidR="00C44908" w:rsidP="00C44908" w:rsidRDefault="00C44908" w14:paraId="27787825" w14:textId="77777777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7"/>
          <w:szCs w:val="27"/>
        </w:rPr>
      </w:pPr>
    </w:p>
    <w:p w:rsidR="00C44908" w:rsidP="00C44908" w:rsidRDefault="00C44908" w14:paraId="6AA77A3E" w14:textId="7777777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:rsidRPr="00C44908" w:rsidR="00C44908" w:rsidP="00C44908" w:rsidRDefault="00C44908" w14:paraId="3FCF7C8C" w14:textId="153CF954">
      <w:pPr>
        <w:pStyle w:val="NormalWeb"/>
        <w:rPr>
          <w:rFonts w:ascii="Calibri" w:hAnsi="Calibri" w:cs="Calibri"/>
          <w:color w:val="000000"/>
          <w:sz w:val="27"/>
          <w:szCs w:val="27"/>
        </w:rPr>
      </w:pPr>
    </w:p>
    <w:p w:rsidRPr="008960BB" w:rsidR="00C44908" w:rsidP="00C44908" w:rsidRDefault="00C44908" w14:paraId="15E9D743" w14:textId="77777777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</w:p>
    <w:p w:rsidR="00C44908" w:rsidP="00C44908" w:rsidRDefault="00C44908" w14:paraId="46F3D4FF" w14:textId="7777777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:rsidR="00C44908" w:rsidP="00C44908" w:rsidRDefault="00C44908" w14:paraId="133F0232" w14:textId="77777777">
      <w:pPr>
        <w:pStyle w:val="NormalWeb"/>
        <w:rPr>
          <w:rFonts w:ascii="Calibri" w:hAnsi="Calibri" w:cs="Calibri"/>
          <w:color w:val="000000"/>
          <w:sz w:val="27"/>
          <w:szCs w:val="27"/>
        </w:rPr>
      </w:pPr>
    </w:p>
    <w:p w:rsidR="00C44908" w:rsidP="00C44908" w:rsidRDefault="00C44908" w14:paraId="7343FD8B" w14:textId="77777777">
      <w:pPr>
        <w:spacing w:after="160" w:line="240" w:lineRule="auto"/>
        <w:rPr>
          <w:rFonts w:eastAsia="Calibri" w:cs="Arial"/>
          <w:sz w:val="22"/>
          <w:szCs w:val="22"/>
        </w:rPr>
      </w:pPr>
    </w:p>
    <w:p w:rsidR="00C44908" w:rsidP="00C44908" w:rsidRDefault="00C44908" w14:paraId="1262C558" w14:textId="77777777">
      <w:pPr>
        <w:spacing w:after="160" w:line="240" w:lineRule="auto"/>
        <w:rPr>
          <w:rFonts w:eastAsia="Calibri" w:cs="Arial"/>
          <w:sz w:val="22"/>
          <w:szCs w:val="22"/>
        </w:rPr>
      </w:pPr>
    </w:p>
    <w:p w:rsidR="00C44908" w:rsidP="00C44908" w:rsidRDefault="00C44908" w14:paraId="72398095" w14:textId="77777777">
      <w:pPr>
        <w:spacing w:after="160" w:line="240" w:lineRule="auto"/>
        <w:rPr>
          <w:rFonts w:eastAsia="Calibri" w:cs="Arial"/>
          <w:sz w:val="22"/>
          <w:szCs w:val="22"/>
        </w:rPr>
      </w:pPr>
    </w:p>
    <w:p w:rsidR="00C44908" w:rsidP="00C44908" w:rsidRDefault="00C44908" w14:paraId="2306B623" w14:textId="77777777">
      <w:pPr>
        <w:spacing w:after="160" w:line="240" w:lineRule="auto"/>
        <w:rPr>
          <w:rFonts w:eastAsia="Calibri" w:cs="Arial"/>
          <w:sz w:val="22"/>
          <w:szCs w:val="22"/>
        </w:rPr>
      </w:pPr>
    </w:p>
    <w:p w:rsidR="00C44908" w:rsidP="00C44908" w:rsidRDefault="00C44908" w14:paraId="538626AB" w14:textId="77777777">
      <w:pPr>
        <w:spacing w:after="160" w:line="240" w:lineRule="auto"/>
        <w:rPr>
          <w:rFonts w:eastAsia="Calibri" w:cs="Arial"/>
          <w:sz w:val="22"/>
          <w:szCs w:val="22"/>
        </w:rPr>
      </w:pPr>
    </w:p>
    <w:p w:rsidR="00C44908" w:rsidP="00C44908" w:rsidRDefault="00C44908" w14:paraId="5C8652AC" w14:textId="77777777">
      <w:pPr>
        <w:spacing w:after="160" w:line="240" w:lineRule="auto"/>
        <w:rPr>
          <w:rFonts w:eastAsia="Calibri" w:cs="Arial"/>
          <w:sz w:val="22"/>
          <w:szCs w:val="22"/>
        </w:rPr>
      </w:pPr>
    </w:p>
    <w:p w:rsidR="00C44908" w:rsidP="00C44908" w:rsidRDefault="00C44908" w14:paraId="281E878C" w14:textId="77777777">
      <w:pPr>
        <w:spacing w:after="160" w:line="240" w:lineRule="auto"/>
        <w:rPr>
          <w:rFonts w:eastAsia="Calibri" w:cs="Arial"/>
          <w:sz w:val="22"/>
          <w:szCs w:val="22"/>
        </w:rPr>
      </w:pPr>
    </w:p>
    <w:p w:rsidR="00C44908" w:rsidP="00C44908" w:rsidRDefault="00C44908" w14:paraId="3642D163" w14:textId="77777777">
      <w:pPr>
        <w:spacing w:after="160" w:line="240" w:lineRule="auto"/>
        <w:rPr>
          <w:rFonts w:eastAsia="Calibri" w:cs="Arial"/>
          <w:sz w:val="22"/>
          <w:szCs w:val="22"/>
        </w:rPr>
      </w:pPr>
    </w:p>
    <w:p w:rsidR="00C44908" w:rsidP="00C44908" w:rsidRDefault="00C44908" w14:paraId="3C67A067" w14:textId="77777777">
      <w:pPr>
        <w:spacing w:after="160" w:line="240" w:lineRule="auto"/>
        <w:rPr>
          <w:rFonts w:eastAsia="Calibri" w:cs="Arial"/>
          <w:sz w:val="22"/>
          <w:szCs w:val="22"/>
        </w:rPr>
      </w:pPr>
    </w:p>
    <w:p w:rsidR="00C44908" w:rsidP="00C44908" w:rsidRDefault="00C44908" w14:paraId="6E81564C" w14:textId="77777777">
      <w:pPr>
        <w:spacing w:after="160" w:line="240" w:lineRule="auto"/>
        <w:rPr>
          <w:rFonts w:eastAsia="Calibri" w:cs="Arial"/>
          <w:sz w:val="22"/>
          <w:szCs w:val="22"/>
        </w:rPr>
      </w:pPr>
    </w:p>
    <w:p w:rsidRPr="00C44908" w:rsidR="00D02D4B" w:rsidP="00C44908" w:rsidRDefault="00C44908" w14:paraId="073A14B8" w14:textId="327DA39D">
      <w:pPr>
        <w:spacing w:after="160" w:line="240" w:lineRule="auto"/>
        <w:rPr>
          <w:rFonts w:eastAsia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3793A" wp14:editId="389E91D1">
                <wp:simplePos x="0" y="0"/>
                <wp:positionH relativeFrom="column">
                  <wp:posOffset>628650</wp:posOffset>
                </wp:positionH>
                <wp:positionV relativeFrom="paragraph">
                  <wp:posOffset>589301</wp:posOffset>
                </wp:positionV>
                <wp:extent cx="6195060" cy="68580"/>
                <wp:effectExtent l="0" t="0" r="0" b="762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style="position:absolute;margin-left:49.5pt;margin-top:46.4pt;width:487.8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02e" stroked="f" strokeweight="1pt" w14:anchorId="3B15EF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izpKKd8AAAAKAQAADwAAAGRycy9kb3ducmV2LnhtbEyPwU7DMBBE70j8g7VI3KjdgEKbxqmg&#10;EgeaXlqQuLqxG0fE6yh20vD3bE5w2l3NaPZNvp1cy0bTh8ajhOVCADNYed1gLeHz4+1hBSxEhVq1&#10;Ho2EHxNgW9ze5CrT/opHM55izSgEQ6Yk2Bi7jPNQWeNUWPjOIGkX3zsV6exrrnt1pXDX8kSIlDvV&#10;IH2wqjM7a6rv0+AkiF3phlVIk7Lcvx/37vA6Lr+slPd308sGWDRT/DPDjE/oUBDT2Q+oA2slrNdU&#10;JdJMqMGsi+enFNh53h5T4EXO/1cofgEAAP//AwBQSwECLQAUAAYACAAAACEAtoM4kv4AAADhAQAA&#10;EwAAAAAAAAAAAAAAAAAAAAAAW0NvbnRlbnRfVHlwZXNdLnhtbFBLAQItABQABgAIAAAAIQA4/SH/&#10;1gAAAJQBAAALAAAAAAAAAAAAAAAAAC8BAABfcmVscy8ucmVsc1BLAQItABQABgAIAAAAIQDxrNBC&#10;gQIAAF4FAAAOAAAAAAAAAAAAAAAAAC4CAABkcnMvZTJvRG9jLnhtbFBLAQItABQABgAIAAAAIQCL&#10;Okop3wAAAAoBAAAPAAAAAAAAAAAAAAAAANsEAABkcnMvZG93bnJldi54bWxQSwUGAAAAAAQABADz&#10;AAAA5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CE069" wp14:editId="3E49DBAF">
                <wp:simplePos x="0" y="0"/>
                <wp:positionH relativeFrom="margin">
                  <wp:posOffset>-1567549</wp:posOffset>
                </wp:positionH>
                <wp:positionV relativeFrom="paragraph">
                  <wp:posOffset>589567</wp:posOffset>
                </wp:positionV>
                <wp:extent cx="6195060" cy="68580"/>
                <wp:effectExtent l="0" t="0" r="0" b="762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8580"/>
                        </a:xfrm>
                        <a:prstGeom prst="rect">
                          <a:avLst/>
                        </a:prstGeom>
                        <a:solidFill>
                          <a:srgbClr val="F7C0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style="position:absolute;margin-left:-123.45pt;margin-top:46.4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f7c02e" stroked="f" strokeweight="1pt" w14:anchorId="644648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aZQnfuAAAAALAQAADwAAAGRycy9kb3ducmV2LnhtbEyPwU7DMBBE70j8g7VI3Fq7AaVpGqeC&#10;ShxouLQg9erGSxwR21HspOHvWU5wXO3TzJtiN9uOTTiE1jsJq6UAhq72unWNhI/3l0UGLETltOq8&#10;QwnfGGBX3t4UKtf+6o44nWLDKMSFXEkwMfY556E2aFVY+h4d/T79YFWkc2i4HtSVwm3HEyFSblXr&#10;qMGoHvcG66/TaCWIfWXHLKRJVR1ejwf79jytzkbK+7v5aQss4hz/YPjVJ3UoyeniR6cD6yQsksd0&#10;Q6yETUIbiFgn2RrYhVDxkAIvC/5/Q/kDAAD//wMAUEsBAi0AFAAGAAgAAAAhALaDOJL+AAAA4QEA&#10;ABMAAAAAAAAAAAAAAAAAAAAAAFtDb250ZW50X1R5cGVzXS54bWxQSwECLQAUAAYACAAAACEAOP0h&#10;/9YAAACUAQAACwAAAAAAAAAAAAAAAAAvAQAAX3JlbHMvLnJlbHNQSwECLQAUAAYACAAAACEA8azQ&#10;QoECAABeBQAADgAAAAAAAAAAAAAAAAAuAgAAZHJzL2Uyb0RvYy54bWxQSwECLQAUAAYACAAAACEA&#10;aZQnfuAAAAALAQAADwAAAAAAAAAAAAAAAADbBAAAZHJzL2Rvd25yZXYueG1sUEsFBgAAAAAEAAQA&#10;8wAAAOgFAAAAAA==&#10;">
                <w10:wrap anchorx="margin"/>
              </v:rect>
            </w:pict>
          </mc:Fallback>
        </mc:AlternateContent>
      </w:r>
    </w:p>
    <w:sectPr w:rsidRPr="00C44908" w:rsidR="00D02D4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08"/>
    <w:rsid w:val="005F152B"/>
    <w:rsid w:val="007A2FE7"/>
    <w:rsid w:val="00C44908"/>
    <w:rsid w:val="00D02D4B"/>
    <w:rsid w:val="00F73CE4"/>
    <w:rsid w:val="1C2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F6FE"/>
  <w15:chartTrackingRefBased/>
  <w15:docId w15:val="{0169B3EE-629B-4633-B5E7-E5D26A83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4908"/>
    <w:pPr>
      <w:spacing w:after="0" w:line="360" w:lineRule="auto"/>
      <w:jc w:val="both"/>
    </w:pPr>
    <w:rPr>
      <w:rFonts w:ascii="Arial" w:hAnsi="Arial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normaltextrun" w:customStyle="1">
    <w:name w:val="normaltextrun"/>
    <w:rsid w:val="00C44908"/>
  </w:style>
  <w:style w:type="paragraph" w:styleId="Cabealho">
    <w:name w:val="header"/>
    <w:basedOn w:val="Normal"/>
    <w:link w:val="CabealhoChar"/>
    <w:uiPriority w:val="99"/>
    <w:unhideWhenUsed/>
    <w:rsid w:val="00C4490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4908"/>
    <w:rPr>
      <w:rFonts w:ascii="Arial" w:hAnsi="Arial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44908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C44908"/>
    <w:rPr>
      <w:b/>
      <w:bCs/>
    </w:rPr>
  </w:style>
  <w:style w:type="character" w:styleId="Hyperlink">
    <w:name w:val="Hyperlink"/>
    <w:basedOn w:val="Fontepargpadro"/>
    <w:uiPriority w:val="99"/>
    <w:unhideWhenUsed/>
    <w:rsid w:val="00C44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39687C860114B87CE4E20D84109F5" ma:contentTypeVersion="7" ma:contentTypeDescription="Crie um novo documento." ma:contentTypeScope="" ma:versionID="8314dac5f7ebdc600f863c9e08693f33">
  <xsd:schema xmlns:xsd="http://www.w3.org/2001/XMLSchema" xmlns:xs="http://www.w3.org/2001/XMLSchema" xmlns:p="http://schemas.microsoft.com/office/2006/metadata/properties" xmlns:ns3="e1b33df6-4f5f-427c-8560-9195ae12ef19" xmlns:ns4="63c45f31-5fdc-4158-afed-2d4f29b3748e" targetNamespace="http://schemas.microsoft.com/office/2006/metadata/properties" ma:root="true" ma:fieldsID="12617069195104900b2e30362706fa30" ns3:_="" ns4:_="">
    <xsd:import namespace="e1b33df6-4f5f-427c-8560-9195ae12ef19"/>
    <xsd:import namespace="63c45f31-5fdc-4158-afed-2d4f29b374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33df6-4f5f-427c-8560-9195ae12e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45f31-5fdc-4158-afed-2d4f29b37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D36DA-807B-46A6-95B1-788F1438B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33df6-4f5f-427c-8560-9195ae12ef19"/>
    <ds:schemaRef ds:uri="63c45f31-5fdc-4158-afed-2d4f29b37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75B30-0027-4E01-8B01-E0B923069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02073-C206-497C-AE4B-87C7C83AC667}">
  <ds:schemaRefs>
    <ds:schemaRef ds:uri="e1b33df6-4f5f-427c-8560-9195ae12ef19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3c45f31-5fdc-4158-afed-2d4f29b3748e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IANN BARBOSA LIMA SILVA</dc:creator>
  <keywords/>
  <dc:description/>
  <lastModifiedBy>Usuário Convidado</lastModifiedBy>
  <revision>3</revision>
  <dcterms:created xsi:type="dcterms:W3CDTF">2022-10-14T01:02:00.0000000Z</dcterms:created>
  <dcterms:modified xsi:type="dcterms:W3CDTF">2022-10-28T18:03:44.9243946Z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0x01010081D39687C860114B87CE4E20D84109F5</vt:lpwstr>
  </property>
</Properties>
</file>