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br/>
        <w:br/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color w:val="000000" w:themeColor="text1"/>
          <w:sz w:val="24"/>
          <w:szCs w:val="24"/>
        </w:rPr>
        <w:t xml:space="preserve">ANÁLISE DA RESPOSTA FISIOLÓGICA DO ESTRESSE DE CAPTURA EM MACHOS DE </w:t>
      </w:r>
      <w:r>
        <w:rPr>
          <w:rFonts w:eastAsia="Arial" w:cs="Arial" w:ascii="Arial" w:hAnsi="Arial"/>
          <w:b/>
          <w:bCs/>
          <w:i/>
          <w:iCs/>
          <w:color w:val="000000" w:themeColor="text1"/>
          <w:sz w:val="24"/>
          <w:szCs w:val="24"/>
        </w:rPr>
        <w:t>Potamotrygon amandae</w:t>
      </w:r>
      <w:r>
        <w:rPr/>
        <w:br/>
        <w:br/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000000" w:themeColor="text1"/>
        </w:rPr>
        <w:t>Gabriela Garcia de Almeida¹; Ariadyne Santos Soares²; Évillyn dos Santos Zacheo³; Thamiris Correia Gomide ¹; Cristiéle da Silva Ribeiro</w:t>
      </w:r>
      <w:r>
        <w:rPr>
          <w:rFonts w:eastAsia="Arial" w:cs="Arial" w:ascii="Arial" w:hAnsi="Arial"/>
          <w:color w:val="000000" w:themeColor="text1"/>
          <w:vertAlign w:val="superscript"/>
        </w:rPr>
        <w:t>4</w:t>
      </w:r>
    </w:p>
    <w:p>
      <w:pPr>
        <w:pStyle w:val="Normal"/>
        <w:rPr/>
      </w:pPr>
      <w:r>
        <w:rPr/>
        <w:br/>
        <w:br/>
      </w:r>
      <w:r>
        <w:rPr>
          <w:rFonts w:eastAsia="Arial" w:cs="Arial" w:ascii="Arial" w:hAnsi="Arial"/>
          <w:color w:val="000000" w:themeColor="text1"/>
        </w:rPr>
        <w:t>¹Graduanda em Ciências Biológicas, Universidade Estadual Paulista – UNESP/FEIS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000000" w:themeColor="text1"/>
        </w:rPr>
        <w:t xml:space="preserve">²Pós-Graduanda em Ciências (Fisiologia Geral), Universidade de São Paulo – IB/USP </w:t>
      </w:r>
    </w:p>
    <w:p>
      <w:pPr>
        <w:pStyle w:val="Normal"/>
        <w:jc w:val="both"/>
        <w:rPr>
          <w:rFonts w:ascii="Arial" w:hAnsi="Arial" w:eastAsia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  <w:t xml:space="preserve">³Pós-Graduanda em Biociências, Universidade Estadual Paulista – UNESP/FCLAs </w:t>
      </w:r>
    </w:p>
    <w:p>
      <w:pPr>
        <w:pStyle w:val="Normal"/>
        <w:jc w:val="both"/>
        <w:rPr/>
      </w:pPr>
      <w:bookmarkStart w:id="0" w:name="_Hlk114843608"/>
      <w:r>
        <w:rPr>
          <w:rFonts w:eastAsia="Arial" w:cs="Arial" w:ascii="Arial" w:hAnsi="Arial"/>
          <w:color w:val="000000" w:themeColor="text1"/>
          <w:vertAlign w:val="superscript"/>
        </w:rPr>
        <w:t>4</w:t>
      </w:r>
      <w:bookmarkEnd w:id="0"/>
      <w:r>
        <w:rPr>
          <w:rFonts w:eastAsia="Arial" w:cs="Arial" w:ascii="Arial" w:hAnsi="Arial"/>
          <w:color w:val="000000" w:themeColor="text1"/>
        </w:rPr>
        <w:t>Professora/pesquisadora no curso de Ciências Biológicas, Universidade Estadual Paulista – UNESP/FEIS</w:t>
      </w:r>
    </w:p>
    <w:p>
      <w:pPr>
        <w:pStyle w:val="Normal"/>
        <w:rPr/>
      </w:pPr>
      <w:r>
        <w:rPr/>
        <w:br/>
        <w:br/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 estresse pode ser definido como uma condição em que a homeostase é ameaçada ou perturbada em decorrência da ação de estímulos intrínsecos e/ou extrínsecos denominados estressores. Quando um animal detecta um estressor, se inicia uma cascata de respostas ao estressor, caracterizada por respostas fisiológicas na tentativa de retomar a homeostase. Os aspectos fisiológicos dessa resposta são mediados pelo sistema endócrino, que atua como sistema de controle e regulação homeostática, através da produção e liberação de hormônios, produzidos por glândulas endócrinas, neurônios especializados e células endócrinas em tecidos não endócrinos, que podem estimular ou inibir funções celulares. Diante disso, o objetivo deste trabalho é caracterizar a resposta fisiológica do estresse de captura em machos de </w:t>
      </w:r>
      <w:r>
        <w:rPr>
          <w:rFonts w:cs="Arial" w:ascii="Arial" w:hAnsi="Arial"/>
          <w:i/>
          <w:iCs/>
          <w:sz w:val="24"/>
          <w:szCs w:val="24"/>
        </w:rPr>
        <w:t>Potamotrygon amandae</w:t>
      </w:r>
      <w:r>
        <w:rPr>
          <w:rFonts w:cs="Arial" w:ascii="Arial" w:hAnsi="Arial"/>
          <w:sz w:val="24"/>
          <w:szCs w:val="24"/>
        </w:rPr>
        <w:t xml:space="preserve">. Para a realização do trabalho, machos de </w:t>
      </w:r>
      <w:r>
        <w:rPr>
          <w:rFonts w:cs="Arial" w:ascii="Arial" w:hAnsi="Arial"/>
          <w:i/>
          <w:iCs/>
          <w:sz w:val="24"/>
          <w:szCs w:val="24"/>
        </w:rPr>
        <w:t>Potamotrygon amandae</w:t>
      </w:r>
      <w:r>
        <w:rPr>
          <w:rFonts w:cs="Arial" w:ascii="Arial" w:hAnsi="Arial"/>
          <w:sz w:val="24"/>
          <w:szCs w:val="24"/>
        </w:rPr>
        <w:t xml:space="preserve"> foram capturados no </w:t>
      </w:r>
      <w:r>
        <w:rPr>
          <w:rFonts w:eastAsia="Times New Roman" w:cs="Arial" w:ascii="Arial" w:hAnsi="Arial"/>
          <w:sz w:val="24"/>
          <w:szCs w:val="24"/>
        </w:rPr>
        <w:t>Rio Paraná (UHE Engenheiro Souza Dias – Ilha Solteira/SP) com o uso de tarrafas (CEUA –FEIS/UNESP 03/2021 e Licença ICMBio 81165-2). Imediatamente após a captura dos exemplares, realizou-se a primeira coleta de sangue. Em seguida, os animais foram acondicionados em caixas plásticas. Após o intervalo de uma hora depois da captura, coletou-se a segunda amostra de sangue. Com as amostras de sangue, realizou-se a análise de hematócrito. Analisou-se também, a concentração de glicose e lactato do plasma sanguíneo através de kits comerciais. Os parâmetros foram estatisticamente comparados utilizando o Teste T de Student, através do Sigma. Os espécimes amostrados (n</w:t>
      </w:r>
      <w:r>
        <w:rPr>
          <w:rFonts w:eastAsia="Times New Roman" w:cs="Arial" w:ascii="Arial" w:hAnsi="Arial"/>
          <w:sz w:val="24"/>
          <w:szCs w:val="24"/>
        </w:rPr>
        <w:t>=10</w:t>
      </w:r>
      <w:r>
        <w:rPr>
          <w:rFonts w:eastAsia="Times New Roman" w:cs="Arial" w:ascii="Arial" w:hAnsi="Arial"/>
          <w:sz w:val="24"/>
          <w:szCs w:val="24"/>
        </w:rPr>
        <w:t xml:space="preserve">) apresentaram comprimento total de  51,3±9,8 cm; comprimento de disco de 32,2±2,6 cm; largura de disco de 29,8±2,3 cm e peso de1,4±0,3 kg. A análise de hematócrito não apresentou diferença significante entre os tempos de coleta (p=0,100), sendo: momento de captura (30,3±3,3%) e após uma hora de captura (27,2±3,4%). A glicose também não apresentou diferença significante entre os tempos de coleta (p=0,106), sendo: momento da captura (23,3±15,5 mg/dL) e após uma hora de captura (34,1±13,6 mg/dL). Diferentemente da glicose e hematócrito, o lactato mostrou-se significativamente diferente entre os tempos de coleta (p=0,004), apresentando maiores concentrações no plasma após uma hora de captura (41,8±26,2 mg/dL) comparado com o momento de captura (8,02±7,2 mg/dL). Diante disso, nossos resultados mostram que o hematócrito e a concentração de glicose não são alterados em situações de estresse. Entretanto, a alteração da concentração de lactato no sangue, corrobora com estudos que demonstram que elevados níveis deste é um dos efeitos fisiológicos da resposta secundária ao estresse em peixes; sendo o lactato, um possível marcador fisiológico para o estresse no grupo. 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000000" w:themeColor="text1"/>
        </w:rPr>
        <w:t xml:space="preserve">Palavras-chave: Fisiologia; Estresse de captura; Raias dulciaquícolas. </w:t>
      </w:r>
    </w:p>
    <w:p>
      <w:pPr>
        <w:pStyle w:val="Normal"/>
        <w:rPr>
          <w:rFonts w:ascii="Arial" w:hAnsi="Arial" w:eastAsia="Arial" w:cs="Arial"/>
          <w:color w:val="000000" w:themeColor="text1"/>
        </w:rPr>
      </w:pPr>
      <w:r>
        <w:rPr/>
        <w:br/>
      </w:r>
      <w:r>
        <w:rPr>
          <w:rFonts w:eastAsia="Arial" w:cs="Arial" w:ascii="Arial" w:hAnsi="Arial"/>
          <w:color w:val="000000" w:themeColor="text1"/>
        </w:rPr>
        <w:t>Apoio Financeiro: PIBIC Reitoria, UNESP.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4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LibreOffice/7.2.0.4$Windows_X86_64 LibreOffice_project/9a9c6381e3f7a62afc1329bd359cc48accb6435b</Application>
  <AppVersion>15.0000</AppVersion>
  <Pages>2</Pages>
  <Words>490</Words>
  <Characters>2945</Characters>
  <CharactersWithSpaces>3435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2022-09-23T13:57:00Z</dcterms:created>
  <dc:creator>Sonia Ramos</dc:creator>
  <dc:description/>
  <dc:language>pt-BR</dc:language>
  <cp:lastModifiedBy/>
  <dcterms:modified xsi:type="dcterms:W3CDTF">2022-10-27T17:21:01Z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