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47E0" w14:textId="77777777" w:rsidR="005E3380" w:rsidRDefault="00000000">
      <w:pPr>
        <w:pStyle w:val="LO-normal"/>
      </w:pPr>
      <w:r>
        <w:rPr>
          <w:noProof/>
        </w:rPr>
        <mc:AlternateContent>
          <mc:Choice Requires="wps">
            <w:drawing>
              <wp:inline distT="0" distB="0" distL="0" distR="0" wp14:anchorId="3724703D" wp14:editId="0BF2AFCD">
                <wp:extent cx="5393690" cy="19050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5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4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07F03192" w14:textId="77777777" w:rsidR="005E3380" w:rsidRDefault="005E3380">
      <w:pPr>
        <w:pStyle w:val="LO-normal"/>
      </w:pPr>
    </w:p>
    <w:p w14:paraId="24AA75AC" w14:textId="77777777" w:rsidR="005E3380" w:rsidRDefault="005E3380">
      <w:pPr>
        <w:pStyle w:val="LO-normal"/>
      </w:pPr>
    </w:p>
    <w:p w14:paraId="3A7113D6" w14:textId="77777777" w:rsidR="005E3380" w:rsidRDefault="00000000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BASE NACIONAL COMUM DE COMPETÊNCIAS DO DIRETOR ESCOLAR: CONFIGURAÇÕES DE UMA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NEOGESTÃO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EM ANÁLISE</w:t>
      </w:r>
    </w:p>
    <w:p w14:paraId="1F12D61B" w14:textId="77777777" w:rsidR="005E3380" w:rsidRDefault="005E3380">
      <w:pPr>
        <w:pStyle w:val="LO-normal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AC89B9" w14:textId="77777777" w:rsidR="005E3380" w:rsidRDefault="00000000">
      <w:pPr>
        <w:pStyle w:val="LO-normal"/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SFREDO, Marta Luiza – UFFS – marta.sfredo@uffs.edu.br</w:t>
      </w:r>
    </w:p>
    <w:p w14:paraId="662C55B9" w14:textId="77777777" w:rsidR="005E3380" w:rsidRDefault="00000000">
      <w:pPr>
        <w:pStyle w:val="LO-normal"/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PIEROZAN, Sandra Simone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Hopner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UFFS – sandra.pierozan@uffs.edu.br</w:t>
      </w:r>
    </w:p>
    <w:p w14:paraId="4DE17A0A" w14:textId="77777777" w:rsidR="005E3380" w:rsidRDefault="005E3380">
      <w:pPr>
        <w:pStyle w:val="LO-normal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3B7AF" w14:textId="77777777" w:rsidR="005E3380" w:rsidRDefault="00000000">
      <w:pPr>
        <w:pStyle w:val="LO-normal"/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7A9D8D" w14:textId="77777777" w:rsidR="005E3380" w:rsidRDefault="005E3380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AF00E" w14:textId="34D09BB8" w:rsidR="005E3380" w:rsidRPr="0068282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Com o objetivo de analisar os novos contornos assumidos pela gestão escolar da educação básica na atualidade, reforçados pelas perspectivas formativas anunciadas no parecer CNE/CP Nº 4/2021, aprovado em  11 de maio de 2021, que trata das diretrizes para a Matriz de competência do diretor escolar</w:t>
      </w:r>
      <w:r w:rsid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 que configura</w:t>
      </w:r>
      <w:r w:rsidRP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a base para a implementação da BNC-Diretor Escolar, o texto problematiza a introdução de mecanismos de mercado no funcionamento da escola, assinalando a ênfase do documento na promoção da eficiência individual como elemento principal do processo formativo dos diretores escolares</w:t>
      </w:r>
      <w:r w:rsid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contrastando com os pressupostos da gestão democrática</w:t>
      </w:r>
      <w:r w:rsidRP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Tais competências parecem tangenciar as equipes diretivas das escolas a atuarem cada vez mais segundo as racionalidades econômicas neoliberais, viabilizando o controle sobre a implementação da BNCC. </w:t>
      </w:r>
      <w:r w:rsid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 principal </w:t>
      </w:r>
      <w:r w:rsid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aporte teórico</w:t>
      </w:r>
      <w:r w:rsid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que orientou os pressupostos analíticos da investigação são as teorizações de</w:t>
      </w:r>
      <w:r w:rsid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Laval (2004) </w:t>
      </w:r>
      <w:r w:rsid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ao reafirmar</w:t>
      </w:r>
      <w:r w:rsid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que a escola não é uma empresa</w:t>
      </w:r>
      <w:r w:rsid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 w:rsidR="00096A2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 análise documental, metodologia que balizou a construção investigativa, aponta como resultados de pesquisa que o direcionamento formativo dos diretores escolares se produz em um contexto de emergência de novas configurações da gestão escolar, com foco no </w:t>
      </w:r>
      <w:proofErr w:type="spellStart"/>
      <w:r w:rsidRP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eficientismo</w:t>
      </w:r>
      <w:proofErr w:type="spellEnd"/>
      <w:r w:rsidRP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 na liderança individual, as quais denominamos </w:t>
      </w:r>
      <w:proofErr w:type="spellStart"/>
      <w:r w:rsidRPr="00682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>neogestão</w:t>
      </w:r>
      <w:proofErr w:type="spellEnd"/>
      <w:r w:rsidRPr="00682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 xml:space="preserve"> </w:t>
      </w:r>
      <w:r w:rsidRP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 que contrasta com a perspectiva de uma governança escolar democrática</w:t>
      </w:r>
      <w:r w:rsidR="00D7415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conforme </w:t>
      </w:r>
      <w:proofErr w:type="spellStart"/>
      <w:r w:rsidR="00D7415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Collet</w:t>
      </w:r>
      <w:proofErr w:type="spellEnd"/>
      <w:r w:rsidR="00D7415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 </w:t>
      </w:r>
      <w:proofErr w:type="spellStart"/>
      <w:r w:rsidR="00D7415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Tort</w:t>
      </w:r>
      <w:proofErr w:type="spellEnd"/>
      <w:r w:rsidR="00D7415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D7415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>(2016)</w:t>
      </w:r>
      <w:r w:rsidRPr="0068282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 w:rsidRPr="0068282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Assim, </w:t>
      </w:r>
      <w:r w:rsidR="00D741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tempos de acirramentos da dinâmica neoliberal somada aos avanços de uma agenda neoconservadora no campo educacional, </w:t>
      </w:r>
      <w:r w:rsidRPr="0068282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proofErr w:type="spellStart"/>
      <w:r w:rsidRPr="0068282E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neogestão</w:t>
      </w:r>
      <w:proofErr w:type="spellEnd"/>
      <w:r w:rsidRPr="0068282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parece reinterpretar os fundamentos educacionais traduzidos pelo viés economicista, fazendo com que a educação seja percebida cada vez mais como uma mercadoria, direcionada por uma ideologia gerencial. Neste cenário é urgente fortalecer os processos de gestão democrática que possibilitem a construção de novos pressupostos e diretrizes para </w:t>
      </w:r>
      <w:r w:rsidR="00D741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 equipes gestoras </w:t>
      </w:r>
      <w:r w:rsidRPr="0068282E">
        <w:rPr>
          <w:rFonts w:ascii="Times New Roman" w:eastAsia="Times New Roman" w:hAnsi="Times New Roman" w:cs="Times New Roman"/>
          <w:sz w:val="24"/>
          <w:szCs w:val="24"/>
          <w:lang w:val="pt-BR"/>
        </w:rPr>
        <w:t>da</w:t>
      </w:r>
      <w:r w:rsidR="00D74159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68282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escola</w:t>
      </w:r>
      <w:r w:rsidR="00D74159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68282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se afastem do instrumentalismo pedagógico e do economicismo educativo. </w:t>
      </w:r>
    </w:p>
    <w:p w14:paraId="24D82E04" w14:textId="77777777" w:rsidR="005E3380" w:rsidRDefault="005E3380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A1CA2" w14:textId="77777777" w:rsidR="005E3380" w:rsidRDefault="005E3380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929C6" w14:textId="77777777" w:rsidR="005E3380" w:rsidRDefault="00000000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formação1;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2; escola3</w:t>
      </w:r>
    </w:p>
    <w:sectPr w:rsidR="005E3380">
      <w:headerReference w:type="default" r:id="rId7"/>
      <w:pgSz w:w="11906" w:h="16838"/>
      <w:pgMar w:top="1700" w:right="1711" w:bottom="2110" w:left="170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D2EF" w14:textId="77777777" w:rsidR="00907EEB" w:rsidRDefault="00907EEB">
      <w:pPr>
        <w:spacing w:line="240" w:lineRule="auto"/>
      </w:pPr>
      <w:r>
        <w:separator/>
      </w:r>
    </w:p>
  </w:endnote>
  <w:endnote w:type="continuationSeparator" w:id="0">
    <w:p w14:paraId="4E3C50CC" w14:textId="77777777" w:rsidR="00907EEB" w:rsidRDefault="00907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377B" w14:textId="77777777" w:rsidR="00907EEB" w:rsidRDefault="00907EEB">
      <w:pPr>
        <w:spacing w:line="240" w:lineRule="auto"/>
      </w:pPr>
      <w:r>
        <w:separator/>
      </w:r>
    </w:p>
  </w:footnote>
  <w:footnote w:type="continuationSeparator" w:id="0">
    <w:p w14:paraId="4DEE0684" w14:textId="77777777" w:rsidR="00907EEB" w:rsidRDefault="00907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161C" w14:textId="77777777" w:rsidR="005E3380" w:rsidRDefault="00000000">
    <w:pPr>
      <w:pStyle w:val="LO-normal"/>
      <w:jc w:val="center"/>
    </w:pPr>
    <w:r>
      <w:rPr>
        <w:noProof/>
      </w:rPr>
      <w:drawing>
        <wp:anchor distT="0" distB="0" distL="0" distR="0" simplePos="0" relativeHeight="3" behindDoc="1" locked="0" layoutInCell="0" allowOverlap="1" wp14:anchorId="09A35BF1" wp14:editId="5B0AD1DD">
          <wp:simplePos x="0" y="0"/>
          <wp:positionH relativeFrom="column">
            <wp:posOffset>3678555</wp:posOffset>
          </wp:positionH>
          <wp:positionV relativeFrom="paragraph">
            <wp:posOffset>-57150</wp:posOffset>
          </wp:positionV>
          <wp:extent cx="1714500" cy="874395"/>
          <wp:effectExtent l="0" t="0" r="0" b="0"/>
          <wp:wrapNone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5" behindDoc="1" locked="0" layoutInCell="0" allowOverlap="1" wp14:anchorId="4921F6A8" wp14:editId="37007009">
          <wp:simplePos x="0" y="0"/>
          <wp:positionH relativeFrom="column">
            <wp:posOffset>-114300</wp:posOffset>
          </wp:positionH>
          <wp:positionV relativeFrom="paragraph">
            <wp:posOffset>104775</wp:posOffset>
          </wp:positionV>
          <wp:extent cx="1718945" cy="547370"/>
          <wp:effectExtent l="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7D17CC" w14:textId="77777777" w:rsidR="005E3380" w:rsidRDefault="005E3380">
    <w:pPr>
      <w:pStyle w:val="LO-normal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5E06CF0A" w14:textId="77777777" w:rsidR="005E3380" w:rsidRDefault="005E3380">
    <w:pPr>
      <w:pStyle w:val="LO-normal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46419BFB" w14:textId="77777777" w:rsidR="005E3380" w:rsidRDefault="00000000">
    <w:pPr>
      <w:pStyle w:val="LO-normal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80"/>
    <w:rsid w:val="00096A24"/>
    <w:rsid w:val="005E3380"/>
    <w:rsid w:val="0068282E"/>
    <w:rsid w:val="00907EEB"/>
    <w:rsid w:val="00D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04AD"/>
  <w15:docId w15:val="{3F5C94BD-024C-45F0-9327-D1B6768E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PargrafodaLista">
    <w:name w:val="List Paragraph"/>
    <w:basedOn w:val="Normal"/>
    <w:qFormat/>
    <w:pPr>
      <w:spacing w:after="16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A5DD-75BB-4A93-A4A2-86C6C9D8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sfredo</dc:creator>
  <dc:description/>
  <cp:lastModifiedBy>marta sfredo</cp:lastModifiedBy>
  <cp:revision>3</cp:revision>
  <dcterms:created xsi:type="dcterms:W3CDTF">2022-10-06T01:26:00Z</dcterms:created>
  <dcterms:modified xsi:type="dcterms:W3CDTF">2022-10-06T01:28:00Z</dcterms:modified>
  <dc:language>pt-BR</dc:language>
</cp:coreProperties>
</file>