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D20F" w14:textId="1EC24F70" w:rsidR="005033CA" w:rsidRPr="000A752F" w:rsidRDefault="00206898" w:rsidP="00812A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ARTRITE IMUNOMEDIADA CAUSADA POR LEISHMANIA</w:t>
      </w:r>
      <w:r w:rsidR="00883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33CA" w:rsidRPr="000A7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RELATO DE CASO</w:t>
      </w:r>
    </w:p>
    <w:p w14:paraId="012A7068" w14:textId="77777777" w:rsidR="005033CA" w:rsidRPr="000A752F" w:rsidRDefault="005033CA" w:rsidP="00503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6E8EC" w14:textId="3069A610" w:rsidR="005033CA" w:rsidRPr="000A752F" w:rsidRDefault="00206898" w:rsidP="00812AB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GRIBEL</w:t>
      </w:r>
      <w:r w:rsidR="005033CA" w:rsidRPr="000A75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Danielly Helen Miranda</w:t>
      </w:r>
      <w:r w:rsidR="005033CA" w:rsidRPr="000A752F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5033CA" w:rsidRPr="000A752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5033CA" w:rsidRPr="000A75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BE13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PEDROZA, Heloísa de Paula ²; </w:t>
      </w:r>
      <w:r w:rsidR="000164F6">
        <w:rPr>
          <w:rFonts w:ascii="Times New Roman" w:hAnsi="Times New Roman" w:cs="Times New Roman"/>
          <w:color w:val="000000" w:themeColor="text1"/>
          <w:sz w:val="20"/>
          <w:szCs w:val="20"/>
        </w:rPr>
        <w:t>TURQUETE, Paula Baêta da Silva Rios²</w:t>
      </w:r>
      <w:r w:rsidR="000C2A3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BE13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GILBERTO, Romim</w:t>
      </w:r>
      <w:r w:rsidR="000C2A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71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Dias²; </w:t>
      </w:r>
      <w:r w:rsidR="000C2A39">
        <w:rPr>
          <w:rFonts w:ascii="Times New Roman" w:hAnsi="Times New Roman" w:cs="Times New Roman"/>
          <w:color w:val="000000" w:themeColor="text1"/>
          <w:sz w:val="20"/>
          <w:szCs w:val="20"/>
        </w:rPr>
        <w:t>ARAÚJO, Mário César Rennó³</w:t>
      </w:r>
    </w:p>
    <w:p w14:paraId="73C286D7" w14:textId="493167F7" w:rsidR="005033CA" w:rsidRDefault="00343202" w:rsidP="005033C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752F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1</w:t>
      </w:r>
      <w:r w:rsidR="005033CA" w:rsidRPr="000A75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Graduanda em Medicina Veterinária, Unipac – Conselheiro Lafaiete, MG.</w:t>
      </w:r>
    </w:p>
    <w:p w14:paraId="076E4AE5" w14:textId="4065D202" w:rsidR="000164F6" w:rsidRDefault="000164F6" w:rsidP="005033C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²Professora do curso de Medicina Veterinária, Unipac – Conselheiro Lafaiete, MG</w:t>
      </w:r>
    </w:p>
    <w:p w14:paraId="1D365EF6" w14:textId="7C736170" w:rsidR="000C2A39" w:rsidRPr="000A752F" w:rsidRDefault="000C2A39" w:rsidP="005033CA">
      <w:pPr>
        <w:spacing w:after="0" w:line="240" w:lineRule="auto"/>
        <w:jc w:val="both"/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³ Médico </w:t>
      </w:r>
      <w:r w:rsidR="0061020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Veterinário Ortopedista, </w:t>
      </w:r>
      <w:r w:rsidR="00BE13D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Clínica Veterinária Vet Master</w:t>
      </w:r>
      <w:r w:rsidR="0061020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– Belo Horizonte, MG</w:t>
      </w:r>
    </w:p>
    <w:p w14:paraId="62E02486" w14:textId="1EF34374" w:rsidR="005033CA" w:rsidRPr="000A752F" w:rsidRDefault="005033CA" w:rsidP="005033CA">
      <w:pPr>
        <w:spacing w:after="0" w:line="240" w:lineRule="auto"/>
        <w:jc w:val="both"/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</w:pPr>
      <w:r w:rsidRPr="00206898">
        <w:rPr>
          <w:rFonts w:ascii="Times New Roman" w:hAnsi="Times New Roman" w:cs="Times New Roman"/>
          <w:i/>
          <w:sz w:val="20"/>
          <w:szCs w:val="20"/>
        </w:rPr>
        <w:t>*</w:t>
      </w:r>
      <w:r w:rsidR="00206898">
        <w:rPr>
          <w:rFonts w:ascii="Times New Roman" w:hAnsi="Times New Roman" w:cs="Times New Roman"/>
          <w:i/>
          <w:sz w:val="20"/>
          <w:szCs w:val="20"/>
        </w:rPr>
        <w:t>daniellygribel@gmail.com</w:t>
      </w:r>
    </w:p>
    <w:p w14:paraId="4BE6157A" w14:textId="77777777" w:rsidR="005033CA" w:rsidRPr="000A752F" w:rsidRDefault="005033CA" w:rsidP="005033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F975C" w14:textId="5ED5F91C" w:rsidR="008573BA" w:rsidRDefault="00291354" w:rsidP="00812AB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06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artrite imunomediada </w:t>
      </w:r>
      <w:r w:rsidR="00F03AEB">
        <w:rPr>
          <w:rFonts w:ascii="Times New Roman" w:hAnsi="Times New Roman" w:cs="Times New Roman"/>
          <w:color w:val="000000" w:themeColor="text1"/>
          <w:sz w:val="24"/>
          <w:szCs w:val="24"/>
        </w:rPr>
        <w:t>pode ser</w:t>
      </w:r>
      <w:r w:rsidR="00206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causada por reações de hipersensibilidade do tipo III com deposição de imunocomplexos dentro das articulações.</w:t>
      </w:r>
      <w:r w:rsidR="007F7234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AB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44518">
        <w:rPr>
          <w:rFonts w:ascii="Times New Roman" w:hAnsi="Times New Roman" w:cs="Times New Roman"/>
          <w:sz w:val="24"/>
          <w:szCs w:val="24"/>
        </w:rPr>
        <w:t>e 5% a</w:t>
      </w:r>
      <w:r w:rsidR="00206898">
        <w:rPr>
          <w:rFonts w:ascii="Times New Roman" w:hAnsi="Times New Roman" w:cs="Times New Roman"/>
          <w:sz w:val="24"/>
          <w:szCs w:val="24"/>
        </w:rPr>
        <w:t xml:space="preserve"> 19%</w:t>
      </w:r>
      <w:r w:rsidR="003436D1">
        <w:rPr>
          <w:rFonts w:ascii="Times New Roman" w:hAnsi="Times New Roman" w:cs="Times New Roman"/>
          <w:sz w:val="24"/>
          <w:szCs w:val="24"/>
        </w:rPr>
        <w:t xml:space="preserve"> dos animais infectados com Leishmaniose apresentam artrites</w:t>
      </w:r>
      <w:r w:rsidR="00B60E86" w:rsidRPr="0096339D">
        <w:rPr>
          <w:rFonts w:ascii="Times New Roman" w:hAnsi="Times New Roman" w:cs="Times New Roman"/>
          <w:sz w:val="24"/>
          <w:szCs w:val="24"/>
        </w:rPr>
        <w:t>.</w:t>
      </w:r>
      <w:r w:rsidR="00CF5B12">
        <w:rPr>
          <w:rFonts w:ascii="Times New Roman" w:hAnsi="Times New Roman" w:cs="Times New Roman"/>
          <w:sz w:val="24"/>
          <w:szCs w:val="24"/>
        </w:rPr>
        <w:t xml:space="preserve"> </w:t>
      </w:r>
      <w:r w:rsidR="00F03AEB">
        <w:rPr>
          <w:rFonts w:ascii="Times New Roman" w:hAnsi="Times New Roman" w:cs="Times New Roman"/>
          <w:sz w:val="24"/>
          <w:szCs w:val="24"/>
        </w:rPr>
        <w:t xml:space="preserve">O objetivo do trabalho foi descrever um caso de artrite imunomediada causada por Leishmania. </w:t>
      </w:r>
      <w:r w:rsidR="00B60E86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>Foi atendid</w:t>
      </w:r>
      <w:r w:rsidR="00F03A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3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E86" w:rsidRPr="000164F6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F03A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E458D" w:rsidRPr="00016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AEB">
        <w:rPr>
          <w:rFonts w:ascii="Times New Roman" w:hAnsi="Times New Roman" w:cs="Times New Roman"/>
          <w:color w:val="000000" w:themeColor="text1"/>
          <w:sz w:val="24"/>
          <w:szCs w:val="24"/>
        </w:rPr>
        <w:t>cadela</w:t>
      </w:r>
      <w:r w:rsidR="00B60E86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F15CD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5033CA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anos, 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>17,2</w:t>
      </w:r>
      <w:r w:rsidR="004F15CD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kg, </w:t>
      </w:r>
      <w:r w:rsidR="000370A4">
        <w:rPr>
          <w:rFonts w:ascii="Times New Roman" w:hAnsi="Times New Roman" w:cs="Times New Roman"/>
          <w:color w:val="000000" w:themeColor="text1"/>
          <w:sz w:val="24"/>
          <w:szCs w:val="24"/>
        </w:rPr>
        <w:t>SRD</w:t>
      </w:r>
      <w:r w:rsidR="005033CA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3AEB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5033CA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histórico de 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>claudicação persistente com dor acentuada em membro pélvico esquerdo</w:t>
      </w:r>
      <w:r w:rsidR="00961E64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33CA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</w:t>
      </w:r>
      <w:r w:rsidR="00206FEA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exame físico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geral, todos os parâmetros como FC, FR, TPC e temperatura estava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dentro da normalidade, exceto o linfonodo poplíteo</w:t>
      </w:r>
      <w:r w:rsidR="00B66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esquerdo</w:t>
      </w:r>
      <w:r w:rsidR="00544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7538">
        <w:rPr>
          <w:rFonts w:ascii="Times New Roman" w:hAnsi="Times New Roman" w:cs="Times New Roman"/>
          <w:color w:val="000000" w:themeColor="text1"/>
          <w:sz w:val="24"/>
          <w:szCs w:val="24"/>
        </w:rPr>
        <w:t>apresentava reativo.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0A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exame físico 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>específico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observado posição palm</w:t>
      </w:r>
      <w:r w:rsidR="00C20A88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grada no membro torácico esquerdo, além de dor acentuada no joelho esquerdo e articulação </w:t>
      </w:r>
      <w:r w:rsidR="00B66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femorotibiopatelar </w:t>
      </w:r>
      <w:r w:rsidR="003436D1">
        <w:rPr>
          <w:rFonts w:ascii="Times New Roman" w:hAnsi="Times New Roman" w:cs="Times New Roman"/>
          <w:color w:val="000000" w:themeColor="text1"/>
          <w:sz w:val="24"/>
          <w:szCs w:val="24"/>
        </w:rPr>
        <w:t>com crepitação intensa, efusão, instabilidade</w:t>
      </w:r>
      <w:r w:rsidR="00544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atrofia de m</w:t>
      </w:r>
      <w:r w:rsidR="00B660C4">
        <w:rPr>
          <w:rFonts w:ascii="Times New Roman" w:hAnsi="Times New Roman" w:cs="Times New Roman"/>
          <w:color w:val="000000" w:themeColor="text1"/>
          <w:sz w:val="24"/>
          <w:szCs w:val="24"/>
        </w:rPr>
        <w:t>usculatura de membro.</w:t>
      </w:r>
      <w:r w:rsidR="00016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736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Exames hematológicos e bioquímicos foram 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>realizados por outro clínico</w:t>
      </w:r>
      <w:r w:rsidR="007C3736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análise do quadro g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>eral da paciente, além de exame radiográfico</w:t>
      </w:r>
      <w:r w:rsidR="0061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pelve e membro pélvico esquerdo da articulação femorotibiopatelar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devido à claudicação persistente</w:t>
      </w:r>
      <w:r w:rsidR="007C3736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0E86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exames requeridos </w:t>
      </w:r>
      <w:r w:rsidR="00DB0CDC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>evidenciaram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hemácias crenadas, leucopenia, anisocitose, macroplaquetas, relação albumina/globulina </w:t>
      </w:r>
      <w:r w:rsidR="00FC7538">
        <w:rPr>
          <w:rFonts w:ascii="Times New Roman" w:hAnsi="Times New Roman" w:cs="Times New Roman"/>
          <w:color w:val="000000" w:themeColor="text1"/>
          <w:sz w:val="24"/>
          <w:szCs w:val="24"/>
        </w:rPr>
        <w:t>baixa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51528" w:rsidRPr="000164F6">
        <w:rPr>
          <w:rFonts w:ascii="Times New Roman" w:hAnsi="Times New Roman" w:cs="Times New Roman"/>
          <w:color w:val="000000" w:themeColor="text1"/>
          <w:sz w:val="24"/>
          <w:szCs w:val="24"/>
        </w:rPr>
        <w:t>Nas imagens</w:t>
      </w:r>
      <w:r w:rsidR="0055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>radiográficas foram visualizadas na projeção ventro-dorsal</w:t>
      </w:r>
      <w:r w:rsidR="00894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pelve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>, deslocamento patelar lateral do membro pélvico esquerdo com áreas de lise óssea</w:t>
      </w:r>
      <w:r w:rsidR="00FC7538">
        <w:rPr>
          <w:rFonts w:ascii="Times New Roman" w:hAnsi="Times New Roman" w:cs="Times New Roman"/>
          <w:color w:val="000000" w:themeColor="text1"/>
          <w:sz w:val="24"/>
          <w:szCs w:val="24"/>
        </w:rPr>
        <w:t>, proliferação óssea pericondral na região proximal a patela esquerda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assimetria da cabeça do fêmur com acetábulo, já na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projeção médio-lateral</w:t>
      </w:r>
      <w:r w:rsidR="00894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membro pélvico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esquerd</w:t>
      </w:r>
      <w:r w:rsidR="008943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articulação femorotibi</w:t>
      </w:r>
      <w:r w:rsidR="0089436E">
        <w:rPr>
          <w:rFonts w:ascii="Times New Roman" w:hAnsi="Times New Roman" w:cs="Times New Roman"/>
          <w:color w:val="000000" w:themeColor="text1"/>
          <w:sz w:val="24"/>
          <w:szCs w:val="24"/>
        </w:rPr>
        <w:t>opatelar</w:t>
      </w:r>
      <w:r w:rsidR="00EC6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notou-se opacificação de tecidos moles, processo inflamatório e aumento de volume sinovial. 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>A prin</w:t>
      </w:r>
      <w:r w:rsidR="00544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cipal suspeita cercava-se em 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>artrite imunomediada que poderia ser causada por duas principais doenças</w:t>
      </w:r>
      <w:r w:rsidR="00FD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artrite reumatóide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4DF5">
        <w:rPr>
          <w:rFonts w:ascii="Times New Roman" w:hAnsi="Times New Roman" w:cs="Times New Roman"/>
          <w:color w:val="000000" w:themeColor="text1"/>
          <w:sz w:val="24"/>
          <w:szCs w:val="24"/>
        </w:rPr>
        <w:t>Inicialmente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>, r</w:t>
      </w:r>
      <w:r w:rsidR="00D11184" w:rsidRPr="0096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ecomendou-se a realização 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duas sorologias, uma para </w:t>
      </w:r>
      <w:r w:rsidR="00D5179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eishmaniose e a outra para </w:t>
      </w:r>
      <w:r w:rsidR="00D5179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>oenç</w:t>
      </w:r>
      <w:r w:rsidR="00544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transmitidas pelo </w:t>
      </w:r>
      <w:r w:rsidR="00D517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arrapato. </w:t>
      </w:r>
      <w:r w:rsidR="000370A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sorologia</w:t>
      </w:r>
      <w:r w:rsidR="00037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deu positivo</w:t>
      </w:r>
      <w:r w:rsidR="0014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Leishmaniose.</w:t>
      </w:r>
      <w:r w:rsidR="00FD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36E">
        <w:rPr>
          <w:rFonts w:ascii="Times New Roman" w:hAnsi="Times New Roman" w:cs="Times New Roman"/>
          <w:color w:val="000000" w:themeColor="text1"/>
          <w:sz w:val="24"/>
          <w:szCs w:val="24"/>
        </w:rPr>
        <w:t>O tratamento</w:t>
      </w:r>
      <w:r w:rsidR="0037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inicial</w:t>
      </w:r>
      <w:r w:rsidR="00894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estabelecido para artrite foi</w:t>
      </w:r>
      <w:r w:rsidR="006C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uso de</w:t>
      </w:r>
      <w:r w:rsidR="0037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anti-inflamatório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E15D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753EA">
        <w:rPr>
          <w:rFonts w:ascii="Times New Roman" w:hAnsi="Times New Roman" w:cs="Times New Roman"/>
          <w:color w:val="000000" w:themeColor="text1"/>
          <w:sz w:val="24"/>
          <w:szCs w:val="24"/>
        </w:rPr>
        <w:t>rednisolona</w:t>
      </w:r>
      <w:r w:rsidR="00D5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0,5 mg/kg, VO, </w:t>
      </w:r>
      <w:r w:rsidR="000E15D1" w:rsidRPr="000E15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b.i.d</w:t>
      </w:r>
      <w:r w:rsidR="000E15D1">
        <w:rPr>
          <w:rFonts w:ascii="Times New Roman" w:hAnsi="Times New Roman" w:cs="Times New Roman"/>
          <w:color w:val="000000" w:themeColor="text1"/>
          <w:sz w:val="24"/>
          <w:szCs w:val="24"/>
        </w:rPr>
        <w:t>, 15 dias com desmame da dose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E15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5D1">
        <w:rPr>
          <w:rFonts w:ascii="Times New Roman" w:hAnsi="Times New Roman" w:cs="Times New Roman"/>
          <w:color w:val="000000" w:themeColor="text1"/>
          <w:sz w:val="24"/>
          <w:szCs w:val="24"/>
        </w:rPr>
        <w:t>Ograx-3 1500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E1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cápsula, VO, </w:t>
      </w:r>
      <w:r w:rsidR="000E15D1" w:rsidRPr="000E15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s.i.d</w:t>
      </w:r>
      <w:r w:rsidR="000E1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68AE">
        <w:rPr>
          <w:rFonts w:ascii="Times New Roman" w:hAnsi="Times New Roman" w:cs="Times New Roman"/>
          <w:color w:val="000000" w:themeColor="text1"/>
          <w:sz w:val="24"/>
          <w:szCs w:val="24"/>
        </w:rPr>
        <w:t>uso contínuo</w:t>
      </w:r>
      <w:r w:rsidR="00F53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Princípio ativo: Ácido Eicosapentaenoico e Ácido Docosahexaenoico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E1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UCII 20mg/animal, 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E1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VO, </w:t>
      </w:r>
      <w:r w:rsidR="00A068AE" w:rsidRPr="00A068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s.i.d</w:t>
      </w:r>
      <w:r w:rsidR="00A068AE">
        <w:rPr>
          <w:rFonts w:ascii="Times New Roman" w:hAnsi="Times New Roman" w:cs="Times New Roman"/>
          <w:color w:val="000000" w:themeColor="text1"/>
          <w:sz w:val="24"/>
          <w:szCs w:val="24"/>
        </w:rPr>
        <w:t>, 30 dias</w:t>
      </w:r>
      <w:r w:rsidR="00F53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>– Princípio ativo: Colágeno</w:t>
      </w:r>
      <w:r w:rsidR="00A32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hidrolisado tipo II, manganês, zinco e selênio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6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analgesia com Gabapentina 10mg/kg, VO, </w:t>
      </w:r>
      <w:r w:rsidR="00A068AE" w:rsidRPr="00A068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b.i.d</w:t>
      </w:r>
      <w:r w:rsidR="00A068AE">
        <w:rPr>
          <w:rFonts w:ascii="Times New Roman" w:hAnsi="Times New Roman" w:cs="Times New Roman"/>
          <w:color w:val="000000" w:themeColor="text1"/>
          <w:sz w:val="24"/>
          <w:szCs w:val="24"/>
        </w:rPr>
        <w:t>, 30 dias</w:t>
      </w:r>
      <w:r w:rsidR="006A69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6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 para o tratamento da leishmaniose </w:t>
      </w:r>
      <w:r w:rsidR="006C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inicialmente </w:t>
      </w:r>
      <w:r w:rsidR="00FA31B2">
        <w:rPr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="006C72BC">
        <w:rPr>
          <w:rFonts w:ascii="Times New Roman" w:hAnsi="Times New Roman" w:cs="Times New Roman"/>
          <w:color w:val="000000" w:themeColor="text1"/>
          <w:sz w:val="24"/>
          <w:szCs w:val="24"/>
        </w:rPr>
        <w:t>ram sanadas</w:t>
      </w:r>
      <w:r w:rsidR="00FA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todas as dúvidas e posteriormente explicado </w:t>
      </w:r>
      <w:r w:rsidR="006C72BC">
        <w:rPr>
          <w:rFonts w:ascii="Times New Roman" w:hAnsi="Times New Roman" w:cs="Times New Roman"/>
          <w:color w:val="000000" w:themeColor="text1"/>
          <w:sz w:val="24"/>
          <w:szCs w:val="24"/>
        </w:rPr>
        <w:t>sobre</w:t>
      </w:r>
      <w:r w:rsidR="00FA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tratamento e acompanhamentos </w:t>
      </w:r>
      <w:r w:rsidR="006C72BC">
        <w:rPr>
          <w:rFonts w:ascii="Times New Roman" w:hAnsi="Times New Roman" w:cs="Times New Roman"/>
          <w:color w:val="000000" w:themeColor="text1"/>
          <w:sz w:val="24"/>
          <w:szCs w:val="24"/>
        </w:rPr>
        <w:t>periódicos</w:t>
      </w:r>
      <w:r w:rsidR="00FA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clínica</w:t>
      </w:r>
      <w:r w:rsidR="006C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realização de exames.</w:t>
      </w:r>
      <w:r w:rsidR="00FA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86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A31B2">
        <w:rPr>
          <w:rFonts w:ascii="Times New Roman" w:hAnsi="Times New Roman" w:cs="Times New Roman"/>
          <w:color w:val="000000" w:themeColor="text1"/>
          <w:sz w:val="24"/>
          <w:szCs w:val="24"/>
        </w:rPr>
        <w:t>iante disto a paciente foi classificada como estádio 2</w:t>
      </w:r>
      <w:r w:rsidR="001D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(doença leve) tendendo para estádio 3 (doença moderada)</w:t>
      </w:r>
      <w:r w:rsidR="00FA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Como tratamento inicial </w:t>
      </w:r>
      <w:r w:rsidR="001D5864">
        <w:rPr>
          <w:rFonts w:ascii="Times New Roman" w:hAnsi="Times New Roman" w:cs="Times New Roman"/>
          <w:color w:val="000000" w:themeColor="text1"/>
          <w:sz w:val="24"/>
          <w:szCs w:val="24"/>
        </w:rPr>
        <w:t>foi prescrito leishmaniostático (</w:t>
      </w:r>
      <w:r w:rsidR="0078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Zyloric 15mg/kg, VO, </w:t>
      </w:r>
      <w:r w:rsidR="00781A07" w:rsidRPr="00781A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b.i.d</w:t>
      </w:r>
      <w:r w:rsidR="00781A07">
        <w:rPr>
          <w:rFonts w:ascii="Times New Roman" w:hAnsi="Times New Roman" w:cs="Times New Roman"/>
          <w:color w:val="000000" w:themeColor="text1"/>
          <w:sz w:val="24"/>
          <w:szCs w:val="24"/>
        </w:rPr>
        <w:t>, uso contínuo</w:t>
      </w:r>
      <w:r w:rsidR="00007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Princípio ativo: Alopurinol</w:t>
      </w:r>
      <w:r w:rsidR="0078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4B4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imunoestimulante (Domperidona 1mg/kg, VO, </w:t>
      </w:r>
      <w:r w:rsidR="004B4F52" w:rsidRPr="004B4F5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b.i.d</w:t>
      </w:r>
      <w:r w:rsidR="004B4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30 dias), </w:t>
      </w:r>
      <w:r w:rsidR="00BA6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leishmanicida </w:t>
      </w:r>
      <w:r w:rsidR="004B4F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96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Miltefosina 2mg/kg, VO, </w:t>
      </w:r>
      <w:r w:rsidR="00B96AAF" w:rsidRPr="00B96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s.i.d, </w:t>
      </w:r>
      <w:r w:rsidR="00B96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dias). </w:t>
      </w:r>
      <w:r w:rsidR="0085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72940">
        <w:rPr>
          <w:rFonts w:ascii="Times New Roman" w:hAnsi="Times New Roman" w:cs="Times New Roman"/>
          <w:color w:val="000000" w:themeColor="text1"/>
          <w:sz w:val="24"/>
          <w:szCs w:val="24"/>
        </w:rPr>
        <w:t>presente relato</w:t>
      </w:r>
      <w:r w:rsidR="006C0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caso</w:t>
      </w:r>
      <w:r w:rsidR="00172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58D">
        <w:rPr>
          <w:rFonts w:ascii="Times New Roman" w:hAnsi="Times New Roman" w:cs="Times New Roman"/>
          <w:color w:val="000000" w:themeColor="text1"/>
          <w:sz w:val="24"/>
          <w:szCs w:val="24"/>
        </w:rPr>
        <w:t>postula</w:t>
      </w:r>
      <w:r w:rsidR="00172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atenção especial </w:t>
      </w:r>
      <w:r w:rsidR="006C058D">
        <w:rPr>
          <w:rFonts w:ascii="Times New Roman" w:hAnsi="Times New Roman" w:cs="Times New Roman"/>
          <w:color w:val="000000" w:themeColor="text1"/>
          <w:sz w:val="24"/>
          <w:szCs w:val="24"/>
        </w:rPr>
        <w:t>aos quadros</w:t>
      </w:r>
      <w:r w:rsidR="00172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afecções </w:t>
      </w:r>
      <w:r w:rsidR="006C058D">
        <w:rPr>
          <w:rFonts w:ascii="Times New Roman" w:hAnsi="Times New Roman" w:cs="Times New Roman"/>
          <w:color w:val="000000" w:themeColor="text1"/>
          <w:sz w:val="24"/>
          <w:szCs w:val="24"/>
        </w:rPr>
        <w:t>articulares, que devem ter como diagnóstico diferencial a leishmaniose.</w:t>
      </w:r>
    </w:p>
    <w:p w14:paraId="2A3F6069" w14:textId="58E1D18E" w:rsidR="00ED67F4" w:rsidRPr="000A752F" w:rsidRDefault="00F235FF" w:rsidP="00812AB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Palavras-chaves</w:t>
      </w:r>
      <w:r w:rsidR="00CF5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CF5B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claudicação, dor acentuada, </w:t>
      </w:r>
      <w:r w:rsidR="00714A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articulação.</w:t>
      </w:r>
    </w:p>
    <w:sectPr w:rsidR="00ED67F4" w:rsidRPr="000A752F" w:rsidSect="00812ABA">
      <w:pgSz w:w="11910" w:h="16840"/>
      <w:pgMar w:top="1418" w:right="1701" w:bottom="1418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E1"/>
    <w:rsid w:val="00007412"/>
    <w:rsid w:val="00012AD4"/>
    <w:rsid w:val="000164F6"/>
    <w:rsid w:val="00016A50"/>
    <w:rsid w:val="00025AE9"/>
    <w:rsid w:val="0003309A"/>
    <w:rsid w:val="000370A4"/>
    <w:rsid w:val="0006559C"/>
    <w:rsid w:val="00074920"/>
    <w:rsid w:val="000A752F"/>
    <w:rsid w:val="000C2A39"/>
    <w:rsid w:val="000D1C49"/>
    <w:rsid w:val="000E15D1"/>
    <w:rsid w:val="000F5807"/>
    <w:rsid w:val="00115758"/>
    <w:rsid w:val="0011639D"/>
    <w:rsid w:val="00144518"/>
    <w:rsid w:val="00156227"/>
    <w:rsid w:val="001628FD"/>
    <w:rsid w:val="00172940"/>
    <w:rsid w:val="001A61C4"/>
    <w:rsid w:val="001D5864"/>
    <w:rsid w:val="00206898"/>
    <w:rsid w:val="00206FEA"/>
    <w:rsid w:val="002250E8"/>
    <w:rsid w:val="00226AD6"/>
    <w:rsid w:val="00244A79"/>
    <w:rsid w:val="00255431"/>
    <w:rsid w:val="00257222"/>
    <w:rsid w:val="002910F3"/>
    <w:rsid w:val="00291354"/>
    <w:rsid w:val="002B2937"/>
    <w:rsid w:val="002C7002"/>
    <w:rsid w:val="002D51C2"/>
    <w:rsid w:val="002E15FA"/>
    <w:rsid w:val="002E486C"/>
    <w:rsid w:val="002F068E"/>
    <w:rsid w:val="002F3203"/>
    <w:rsid w:val="002F364F"/>
    <w:rsid w:val="003072ED"/>
    <w:rsid w:val="00331B80"/>
    <w:rsid w:val="00343202"/>
    <w:rsid w:val="003436D1"/>
    <w:rsid w:val="00363C95"/>
    <w:rsid w:val="003753EA"/>
    <w:rsid w:val="00375916"/>
    <w:rsid w:val="00383EF9"/>
    <w:rsid w:val="003D77B0"/>
    <w:rsid w:val="003F20D4"/>
    <w:rsid w:val="00415ECE"/>
    <w:rsid w:val="0043258D"/>
    <w:rsid w:val="00437009"/>
    <w:rsid w:val="00437173"/>
    <w:rsid w:val="00451BB8"/>
    <w:rsid w:val="00456288"/>
    <w:rsid w:val="004629EC"/>
    <w:rsid w:val="004632D8"/>
    <w:rsid w:val="004968ED"/>
    <w:rsid w:val="004A34AC"/>
    <w:rsid w:val="004A4808"/>
    <w:rsid w:val="004B4F52"/>
    <w:rsid w:val="004E5248"/>
    <w:rsid w:val="004F15CD"/>
    <w:rsid w:val="005033CA"/>
    <w:rsid w:val="005331F0"/>
    <w:rsid w:val="005441A8"/>
    <w:rsid w:val="00551528"/>
    <w:rsid w:val="005531FE"/>
    <w:rsid w:val="00576728"/>
    <w:rsid w:val="00585E42"/>
    <w:rsid w:val="005A1360"/>
    <w:rsid w:val="005B5F36"/>
    <w:rsid w:val="005C56FD"/>
    <w:rsid w:val="005D08F1"/>
    <w:rsid w:val="005D3874"/>
    <w:rsid w:val="005D6BE1"/>
    <w:rsid w:val="005D6F43"/>
    <w:rsid w:val="005F068C"/>
    <w:rsid w:val="005F4F7C"/>
    <w:rsid w:val="005F6426"/>
    <w:rsid w:val="0060145D"/>
    <w:rsid w:val="00610205"/>
    <w:rsid w:val="00610EBB"/>
    <w:rsid w:val="00612982"/>
    <w:rsid w:val="006307C9"/>
    <w:rsid w:val="0066099A"/>
    <w:rsid w:val="00662614"/>
    <w:rsid w:val="006A4B62"/>
    <w:rsid w:val="006A697F"/>
    <w:rsid w:val="006C058D"/>
    <w:rsid w:val="006C72BC"/>
    <w:rsid w:val="00714AF5"/>
    <w:rsid w:val="007305BC"/>
    <w:rsid w:val="00753CFE"/>
    <w:rsid w:val="00772480"/>
    <w:rsid w:val="00781A07"/>
    <w:rsid w:val="007B5216"/>
    <w:rsid w:val="007C3736"/>
    <w:rsid w:val="007C4D5F"/>
    <w:rsid w:val="007C5811"/>
    <w:rsid w:val="007E1996"/>
    <w:rsid w:val="007F7234"/>
    <w:rsid w:val="00801F1D"/>
    <w:rsid w:val="008035CA"/>
    <w:rsid w:val="00812ABA"/>
    <w:rsid w:val="00842C03"/>
    <w:rsid w:val="00846E32"/>
    <w:rsid w:val="008565D8"/>
    <w:rsid w:val="008565F1"/>
    <w:rsid w:val="008573BA"/>
    <w:rsid w:val="00857DD1"/>
    <w:rsid w:val="008837A9"/>
    <w:rsid w:val="0089436E"/>
    <w:rsid w:val="008D3BCB"/>
    <w:rsid w:val="008E3396"/>
    <w:rsid w:val="00947FF9"/>
    <w:rsid w:val="0096086E"/>
    <w:rsid w:val="00961E64"/>
    <w:rsid w:val="0096339D"/>
    <w:rsid w:val="00964FA4"/>
    <w:rsid w:val="009D79FF"/>
    <w:rsid w:val="009E6C18"/>
    <w:rsid w:val="009F1A31"/>
    <w:rsid w:val="00A068AE"/>
    <w:rsid w:val="00A302D9"/>
    <w:rsid w:val="00A32AFD"/>
    <w:rsid w:val="00A35DB2"/>
    <w:rsid w:val="00A410A5"/>
    <w:rsid w:val="00A6364D"/>
    <w:rsid w:val="00A64EAD"/>
    <w:rsid w:val="00A76019"/>
    <w:rsid w:val="00AB2658"/>
    <w:rsid w:val="00AE458D"/>
    <w:rsid w:val="00AE7A50"/>
    <w:rsid w:val="00B062CA"/>
    <w:rsid w:val="00B207D5"/>
    <w:rsid w:val="00B320FA"/>
    <w:rsid w:val="00B3263F"/>
    <w:rsid w:val="00B60E86"/>
    <w:rsid w:val="00B660C4"/>
    <w:rsid w:val="00B844FF"/>
    <w:rsid w:val="00B96AAF"/>
    <w:rsid w:val="00BA65AF"/>
    <w:rsid w:val="00BB3518"/>
    <w:rsid w:val="00BC1762"/>
    <w:rsid w:val="00BE13D6"/>
    <w:rsid w:val="00BF03B1"/>
    <w:rsid w:val="00BF1030"/>
    <w:rsid w:val="00C15AF0"/>
    <w:rsid w:val="00C17748"/>
    <w:rsid w:val="00C20A88"/>
    <w:rsid w:val="00C5263A"/>
    <w:rsid w:val="00C546F9"/>
    <w:rsid w:val="00C75AC0"/>
    <w:rsid w:val="00C87CE0"/>
    <w:rsid w:val="00CB3A2B"/>
    <w:rsid w:val="00CE3DF4"/>
    <w:rsid w:val="00CF4457"/>
    <w:rsid w:val="00CF5B12"/>
    <w:rsid w:val="00D01BCC"/>
    <w:rsid w:val="00D06B4B"/>
    <w:rsid w:val="00D11184"/>
    <w:rsid w:val="00D26A0A"/>
    <w:rsid w:val="00D51794"/>
    <w:rsid w:val="00D558D0"/>
    <w:rsid w:val="00DB0CDC"/>
    <w:rsid w:val="00DB56C5"/>
    <w:rsid w:val="00DB5C81"/>
    <w:rsid w:val="00DF4959"/>
    <w:rsid w:val="00E47F82"/>
    <w:rsid w:val="00EB61CC"/>
    <w:rsid w:val="00EB6CAE"/>
    <w:rsid w:val="00EB777C"/>
    <w:rsid w:val="00EC3A80"/>
    <w:rsid w:val="00EC68F2"/>
    <w:rsid w:val="00ED67F4"/>
    <w:rsid w:val="00EE4C02"/>
    <w:rsid w:val="00EF2AD4"/>
    <w:rsid w:val="00F03275"/>
    <w:rsid w:val="00F03AEB"/>
    <w:rsid w:val="00F14820"/>
    <w:rsid w:val="00F21236"/>
    <w:rsid w:val="00F22EE8"/>
    <w:rsid w:val="00F235FF"/>
    <w:rsid w:val="00F3569B"/>
    <w:rsid w:val="00F43DA0"/>
    <w:rsid w:val="00F53459"/>
    <w:rsid w:val="00F74E3D"/>
    <w:rsid w:val="00F82FC7"/>
    <w:rsid w:val="00F926F4"/>
    <w:rsid w:val="00FA2E44"/>
    <w:rsid w:val="00FA31B2"/>
    <w:rsid w:val="00FA6486"/>
    <w:rsid w:val="00FB1BE8"/>
    <w:rsid w:val="00FB3E4D"/>
    <w:rsid w:val="00FC7538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85D"/>
  <w15:docId w15:val="{15AC4B4B-F68B-4E03-B21A-4C33DD0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6BE1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83EF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A2E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E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E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E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E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E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5AC0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12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Danielly</cp:lastModifiedBy>
  <cp:revision>7</cp:revision>
  <dcterms:created xsi:type="dcterms:W3CDTF">2022-09-22T14:29:00Z</dcterms:created>
  <dcterms:modified xsi:type="dcterms:W3CDTF">2022-09-29T16:37:00Z</dcterms:modified>
</cp:coreProperties>
</file>