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ind w:left="0" w:hanging="0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RESUMO SIMPLES</w:t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BIOCERÂMICAS: UMA FERRAMENTA DE GRANDE POTENCIAL PARA A MEDICINA E ODONTOLOGIA</w:t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/>
      </w:pPr>
      <w:r>
        <w:rPr/>
      </w:r>
    </w:p>
    <w:p>
      <w:pPr>
        <w:pStyle w:val="NoSpacing"/>
        <w:jc w:val="right"/>
        <w:rPr>
          <w:vertAlign w:val="superscript"/>
        </w:rPr>
      </w:pPr>
      <w:r>
        <w:rPr/>
      </w:r>
    </w:p>
    <w:p>
      <w:pPr>
        <w:pStyle w:val="Corpodotexto"/>
        <w:spacing w:lineRule="auto" w:line="360"/>
        <w:jc w:val="both"/>
        <w:rPr>
          <w:bCs/>
        </w:rPr>
      </w:pPr>
      <w:r>
        <w:rPr>
          <w:b/>
        </w:rPr>
        <w:t>INTRODUÇÃO:</w:t>
      </w:r>
      <w:r>
        <w:rPr/>
        <w:t xml:space="preserve"> Avanços tecnológicos na área da medicina e odontologia permitiram a possibilidade de melhorar a qualidade de vida e o aumento da expectativa de vida da população, tendo as pesquisas na área de biomateriais, parte integrante desses avanços. Recuperações estruturais ósseas, enxertos, implantes, cirurgias ortopédicas, plásticas, enxertos buco-maxilofaciais e restaurações odontológicas, recorrem à pesquisa de novos materiais para reestruturação e reconstrução de tecido ósseo. Biomateriais metálicos, cerâmicos, poliméricos e c</w:t>
      </w:r>
      <w:r>
        <w:rPr/>
        <w:t>ompósitos vêm sendo desenvolvidos para estes fins, que se traduz pela busca de novos e melhores biomaterial, definido como: qualquer substância ou combinação de substâncias que não sejam drogas ou fármacos, de origem natural ou sintética, que possam ser usadas por qualquer que seja o período de tempo, como parte ou como o todo de sistemas que tratam, aumentam, ou substituem quaisquer tecidos, órgão ou funções do corpo humano.</w:t>
      </w:r>
      <w:r>
        <w:rPr>
          <w:spacing w:val="1"/>
        </w:rPr>
        <w:t xml:space="preserve"> </w:t>
      </w:r>
      <w:r>
        <w:rPr>
          <w:b/>
          <w:spacing w:val="-1"/>
        </w:rPr>
        <w:t>OBJETIVO:</w:t>
      </w:r>
      <w:r>
        <w:rPr>
          <w:spacing w:val="-1"/>
        </w:rPr>
        <w:t xml:space="preserve"> Evidenciar, com a pesquisa bibliográfica,  os avanços na área dos biomateriais, </w:t>
      </w:r>
      <w:r>
        <w:rPr>
          <w:spacing w:val="-1"/>
          <w:sz w:val="24"/>
          <w:szCs w:val="24"/>
        </w:rPr>
        <w:t xml:space="preserve">com destaque para as biocerâmicas, bem como sua importância  e aplicação. </w:t>
      </w:r>
      <w:r>
        <w:rPr>
          <w:b/>
          <w:spacing w:val="-1"/>
          <w:sz w:val="24"/>
          <w:szCs w:val="24"/>
        </w:rPr>
        <w:t>MATERIAIS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MÉTODOS: </w:t>
      </w:r>
      <w:r>
        <w:rPr>
          <w:sz w:val="24"/>
          <w:szCs w:val="24"/>
        </w:rPr>
        <w:t xml:space="preserve">Trata-se de </w:t>
      </w:r>
      <w:r>
        <w:rPr>
          <w:bCs/>
          <w:spacing w:val="-1"/>
          <w:sz w:val="24"/>
          <w:szCs w:val="24"/>
        </w:rPr>
        <w:t>uma pesquisa para levantamento bibliográfico na base de dados ScienceDirect, pubmed e scirp.</w:t>
      </w:r>
      <w:r>
        <w:rPr>
          <w:sz w:val="24"/>
          <w:szCs w:val="24"/>
        </w:rPr>
        <w:t xml:space="preserve"> </w:t>
      </w:r>
      <w:r>
        <w:rPr>
          <w:b w:val="false"/>
          <w:bCs w:val="false"/>
          <w:spacing w:val="-1"/>
          <w:sz w:val="24"/>
          <w:szCs w:val="24"/>
        </w:rPr>
        <w:t xml:space="preserve">O método de busca foi realizado através dos descritores em ciências da saúde (DeCS): </w:t>
      </w:r>
      <w:r>
        <w:rPr>
          <w:bCs/>
          <w:spacing w:val="-1"/>
          <w:sz w:val="24"/>
          <w:szCs w:val="24"/>
        </w:rPr>
        <w:t>“bio</w:t>
      </w:r>
      <w:r>
        <w:rPr>
          <w:bCs/>
          <w:spacing w:val="-1"/>
        </w:rPr>
        <w:t>materials”, “bioceramics” e “hydroxyapatite”.</w:t>
      </w:r>
      <w:r>
        <w:rPr/>
        <w:t xml:space="preserve"> Como critér</w:t>
      </w:r>
      <w:r>
        <w:rPr/>
        <w:t xml:space="preserve">io de inclusão considerou-se o número de citações e relevância além de estudos originais a fim de complementar meta-análises entre os anos de 2021 a 2022 Quanto aos critérios de exclusão, não foram coletados trabalhos fora da temática. Foram encontrados 18 estudos dos quais 8 corresponderam aos critérios de elegibilidade. </w:t>
      </w:r>
      <w:r>
        <w:rPr>
          <w:b/>
        </w:rPr>
        <w:t>RESULTADOS</w:t>
      </w:r>
      <w:r>
        <w:rPr>
          <w:b/>
          <w:spacing w:val="24"/>
        </w:rPr>
        <w:t xml:space="preserve"> </w:t>
      </w:r>
      <w:r>
        <w:rPr>
          <w:b/>
        </w:rPr>
        <w:t>E</w:t>
      </w:r>
      <w:r>
        <w:rPr>
          <w:b/>
          <w:spacing w:val="32"/>
        </w:rPr>
        <w:t xml:space="preserve"> </w:t>
      </w:r>
      <w:r>
        <w:rPr>
          <w:b/>
        </w:rPr>
        <w:t xml:space="preserve">DISCUSSÃO: </w:t>
      </w:r>
      <w:r>
        <w:rPr/>
        <w:t xml:space="preserve">Muitos materiais usados para regeneração óssea ou restaurações dentárias possuem bioatividade e biocompatibilidade, porém a capacidade de osteointegração e biodegradabilidade desses compostos são maiores em materiais cerâmicos, que possuem composição química semelhante à fase mineral do osso ou do dente. As biocerâmicas de silicatos se mostraram eficientes em regeneração de tecidos ósseos e suas propriedades físico-químicas e biológicas dependem da composição química de cada silicato. O silício é um elemento químico encontrado em sítios ativos de calcificação em ossos e está diretamente envolvido no processo de mineralização do tecido ósseo. Como exemplo temos alite (Ca₃SiO₅) utilizada diretamente na polpa dental, induz a síntese reparatória da dentina. Outra biomaterial bastante explorada na literatura é a hidroxiapatita, compatível com a fase mineral do tecido ósseo ela pode ser sintetiza ou extraída de ossos ou espinhas de animais e conchas. Possui diversas aplicações como libertação controlada de fármaco, implantes dentários e material para enxerto ósseo. </w:t>
      </w:r>
      <w:r>
        <w:rPr>
          <w:b/>
        </w:rPr>
        <w:t>CONSIDERAÇÕES</w:t>
      </w:r>
      <w:r>
        <w:rPr>
          <w:b/>
          <w:spacing w:val="1"/>
        </w:rPr>
        <w:t xml:space="preserve"> </w:t>
      </w:r>
      <w:r>
        <w:rPr>
          <w:b/>
        </w:rPr>
        <w:t xml:space="preserve">FINAIS: </w:t>
      </w:r>
      <w:r>
        <w:rPr>
          <w:bCs/>
        </w:rPr>
        <w:t xml:space="preserve">Através dos resultados podemos inferir que as biocerâmicas possuem diversas aplicações para a medicina e odontologia, tornando-as uma grande fonte de pesquisa para o desenvolvimento de novas tecnologias. 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Palavras-chave:</w:t>
      </w:r>
      <w:r>
        <w:rPr>
          <w:b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Biomateriais;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Biocerâmicas;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Hidroxiapatita.</w:t>
      </w:r>
      <w:r>
        <w:rPr>
          <w:spacing w:val="-4"/>
          <w:sz w:val="24"/>
          <w:szCs w:val="24"/>
        </w:rPr>
        <w:t xml:space="preserve"> </w:t>
      </w:r>
    </w:p>
    <w:p>
      <w:pPr>
        <w:pStyle w:val="Corpodotexto"/>
        <w:spacing w:lineRule="auto" w:line="360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REFERÊNCIAS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BIBLIOGRÁFICAS</w:t>
      </w:r>
      <w:r>
        <w:rPr>
          <w:b/>
          <w:bCs/>
          <w:spacing w:val="-4"/>
          <w:sz w:val="24"/>
          <w:szCs w:val="24"/>
        </w:rPr>
        <w:t xml:space="preserve"> </w:t>
      </w:r>
    </w:p>
    <w:p>
      <w:pPr>
        <w:pStyle w:val="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CAPUANA, E. et al . Poly-l-Lactic Acid (PLLA)-Based Biomaterials for Regenerative Medicine: A Review on Processing and Applications. </w:t>
      </w:r>
      <w:r>
        <w:rPr>
          <w:b/>
          <w:bCs/>
          <w:color w:val="000000" w:themeColor="text1"/>
          <w:sz w:val="24"/>
          <w:szCs w:val="24"/>
        </w:rPr>
        <w:t xml:space="preserve">Polymers, </w:t>
      </w:r>
      <w:r>
        <w:rPr>
          <w:color w:val="000000" w:themeColor="text1"/>
          <w:sz w:val="24"/>
          <w:szCs w:val="24"/>
        </w:rPr>
        <w:t>v. 14, p. 1153, 2022.</w:t>
      </w:r>
    </w:p>
    <w:p>
      <w:pPr>
        <w:pStyle w:val="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COSTA, A. Et al. Chitosan and Hydroxyapatite Based Biomaterials to Circumvent Periprosthetic Joint Infections. </w:t>
      </w:r>
      <w:r>
        <w:rPr>
          <w:rStyle w:val="Nfase"/>
          <w:b/>
          <w:bCs/>
          <w:i w:val="false"/>
          <w:iCs w:val="false"/>
          <w:sz w:val="24"/>
          <w:szCs w:val="24"/>
        </w:rPr>
        <w:t>Materials</w:t>
      </w:r>
      <w:r>
        <w:rPr>
          <w:sz w:val="24"/>
          <w:szCs w:val="24"/>
        </w:rPr>
        <w:t>, v. 14, p. 804, 2021.</w:t>
      </w:r>
    </w:p>
    <w:p>
      <w:pPr>
        <w:pStyle w:val="Ttulo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Ttulo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IFTIKHAR, S. et al. </w:t>
      </w:r>
      <w:r>
        <w:rPr>
          <w:rStyle w:val="Titletext"/>
          <w:rFonts w:cs="Times New Roman" w:ascii="Times New Roman" w:hAnsi="Times New Roman"/>
          <w:color w:val="auto"/>
          <w:sz w:val="24"/>
          <w:szCs w:val="24"/>
        </w:rPr>
        <w:t xml:space="preserve">The trends of dental biomaterials research and future directions: A mapping review. </w:t>
      </w:r>
      <w:r>
        <w:rPr>
          <w:rStyle w:val="HTMLCite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</w:rPr>
        <w:t>The Saudi Dental Journal</w:t>
      </w:r>
      <w:r>
        <w:rPr>
          <w:rStyle w:val="HTMLCite"/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v.33 , p. 229, 2021.</w:t>
      </w:r>
    </w:p>
    <w:p>
      <w:pPr>
        <w:pStyle w:val="Normal"/>
        <w:rPr>
          <w:color w:val="000000" w:themeColor="text1"/>
          <w:sz w:val="24"/>
          <w:szCs w:val="24"/>
        </w:rPr>
      </w:pPr>
      <w:r>
        <w:rPr/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20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47a1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fb320e"/>
    <w:pPr>
      <w:ind w:left="800" w:hanging="0"/>
      <w:outlineLvl w:val="1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01d5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fb320e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fb320e"/>
    <w:rPr>
      <w:color w:val="0563C1" w:themeColor="hyperlink"/>
      <w:u w:val="single"/>
    </w:rPr>
  </w:style>
  <w:style w:type="character" w:styleId="CorpodetextoChar" w:customStyle="1">
    <w:name w:val="Corpo de texto Char"/>
    <w:basedOn w:val="DefaultParagraphFont"/>
    <w:link w:val="Corpodetexto"/>
    <w:uiPriority w:val="1"/>
    <w:semiHidden/>
    <w:qFormat/>
    <w:rsid w:val="00fb320e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1af0"/>
    <w:rPr>
      <w:color w:val="605E5C"/>
      <w:shd w:fill="E1DFDD" w:val="clear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5601d5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lang w:val="pt-PT"/>
    </w:rPr>
  </w:style>
  <w:style w:type="character" w:styleId="HTMLCite">
    <w:name w:val="HTML Cite"/>
    <w:basedOn w:val="DefaultParagraphFont"/>
    <w:uiPriority w:val="99"/>
    <w:semiHidden/>
    <w:unhideWhenUsed/>
    <w:qFormat/>
    <w:rsid w:val="005601d5"/>
    <w:rPr>
      <w:i/>
      <w:iCs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b47a1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val="pt-PT"/>
    </w:rPr>
  </w:style>
  <w:style w:type="character" w:styleId="Nfase">
    <w:name w:val="Ênfase"/>
    <w:basedOn w:val="DefaultParagraphFont"/>
    <w:uiPriority w:val="20"/>
    <w:qFormat/>
    <w:rsid w:val="00b47a1d"/>
    <w:rPr>
      <w:i/>
      <w:iCs/>
    </w:rPr>
  </w:style>
  <w:style w:type="character" w:styleId="Titletext" w:customStyle="1">
    <w:name w:val="title-text"/>
    <w:basedOn w:val="DefaultParagraphFont"/>
    <w:qFormat/>
    <w:rsid w:val="00c12630"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semiHidden/>
    <w:unhideWhenUsed/>
    <w:qFormat/>
    <w:rsid w:val="00fb320e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fb320e"/>
    <w:pPr>
      <w:ind w:left="800" w:hanging="361"/>
    </w:pPr>
    <w:rPr/>
  </w:style>
  <w:style w:type="paragraph" w:styleId="NoSpacing">
    <w:name w:val="No Spacing"/>
    <w:uiPriority w:val="1"/>
    <w:qFormat/>
    <w:rsid w:val="00df7a74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LibreOffice/7.1.4.2$Windows_X86_64 LibreOffice_project/a529a4fab45b75fefc5b6226684193eb000654f6</Application>
  <AppVersion>15.0000</AppVersion>
  <Pages>2</Pages>
  <Words>525</Words>
  <Characters>3172</Characters>
  <CharactersWithSpaces>3691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2022-09-04T00:43:00Z</dcterms:created>
  <dc:creator>michel lopes</dc:creator>
  <dc:description/>
  <dc:language>pt-BR</dc:language>
  <cp:lastModifiedBy/>
  <dcterms:modified xsi:type="dcterms:W3CDTF">2022-09-06T15:09:58Z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