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D609" w14:textId="77777777" w:rsidR="006C6937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RESUMO SIMPLES</w:t>
      </w:r>
    </w:p>
    <w:p w14:paraId="67C3EAD0" w14:textId="77777777" w:rsidR="006C6937" w:rsidRDefault="006C6937">
      <w:pPr>
        <w:rPr>
          <w:rFonts w:ascii="Times New Roman" w:hAnsi="Times New Roman" w:cs="Times New Roman"/>
          <w:sz w:val="28"/>
          <w:szCs w:val="28"/>
        </w:rPr>
      </w:pPr>
    </w:p>
    <w:p w14:paraId="62141BB5" w14:textId="77777777" w:rsidR="006C6937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HIDROGÉIS INJETÁVEIS À BASE DE POLISSACARÍDEOS PARA REGENERAÇÃO DE TECIDOS DANIFICADOS E LIBERAÇÃO DE CÉLULAS E DROGAS</w:t>
      </w:r>
    </w:p>
    <w:p w14:paraId="39A58ECE" w14:textId="47C22179" w:rsidR="006C6937" w:rsidRDefault="00000000" w:rsidP="0041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14:paraId="1F6451C0" w14:textId="77777777" w:rsidR="006C6937" w:rsidRDefault="006C69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0EF37" w14:textId="77777777" w:rsidR="006C6937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Hidrogéis formados a partir de polissacarídeos são capazes de </w:t>
      </w:r>
      <w:r>
        <w:rPr>
          <w:rFonts w:ascii="Times New Roman" w:hAnsi="Times New Roman" w:cs="Times New Roman"/>
          <w:color w:val="000000"/>
          <w:sz w:val="24"/>
          <w:szCs w:val="24"/>
        </w:rPr>
        <w:t>mimetizar</w:t>
      </w:r>
      <w:r>
        <w:rPr>
          <w:rFonts w:ascii="Times New Roman" w:hAnsi="Times New Roman" w:cs="Times New Roman"/>
          <w:sz w:val="24"/>
          <w:szCs w:val="24"/>
        </w:rPr>
        <w:t xml:space="preserve"> o ambiente dos tecidos corporais tornando-os notáveis materiais para aplicação em biomedicina. Com sua utilização é possível substituir processos cirúrgicos invasivos eliminando os riscos de complicações para os pacientes de forma minimamente invasiva e funcional. Goma guar, gelatina e quitosana são exemplos de polissacarídeos usados na fabricação dos hidrogéis uma vez que são biocompatíveis, biodegradáveis e não tóxicos. A união desses biopolímeros formam redes tridimensionais porosas capazes de reter água além de induzir a reabsorção dos tecidos velhos, danificados e desnecessários favorecendo a formação de novos tecidos. Assim, a investigação científica acerca desses materiais é de importância social, econômica e regulamentar a fim de permitir o desenvolvimento da ciência dos materiais e o avanço da medicina regenerativa.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  <w:r>
        <w:rPr>
          <w:rFonts w:ascii="Times New Roman" w:hAnsi="Times New Roman" w:cs="Times New Roman"/>
          <w:sz w:val="24"/>
          <w:szCs w:val="24"/>
        </w:rPr>
        <w:t xml:space="preserve">Analisar, por meio da literatura científica, a capacidade de indução à regeneração tissular de hidrogéis injetáveis à base polissacarídeos.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MATERIAIS E MÉTODOS: </w:t>
      </w:r>
      <w:r>
        <w:rPr>
          <w:rFonts w:ascii="Times New Roman" w:hAnsi="Times New Roman" w:cs="Times New Roman"/>
          <w:sz w:val="24"/>
          <w:szCs w:val="24"/>
        </w:rPr>
        <w:t xml:space="preserve">Trata-se de uma revisão integrativa da literatura realizada na base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WebofScience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utilizando-se da estratégia de busca com os seguintes descritores como palavras-chave: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polysaccharide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operadores booleanos AND. Como critério de inclusão considerou-se artigos completos além da relevância e número de citações publicados em língua inglesa a fim de complementar meta-análises nos anos de 2021 e 2022. Quanto aos critérios de exclusão, enquadram-se artigos duplicados, incompletos, resumos e debates. Foram encontrados 17 estudos dos quais 5 corresponderam aos critérios de elegibilidade.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 xml:space="preserve">Após a análise de vários artigos dentre os pesquisados e observar os diversos ensaios realizados a fim de caracterizar os hidrogéis propostos e desvendar a química desses biomateriais, pode-se notar que, além do caráter menos invasivo, a sua aplicação é segura e de forma simplificada pois são injetados por meio de seringas e agulhas de pequeno porte, além de serem vantajosos em relação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pré-fabricados já que adotam a forma da cavidade em que são aplicados, ainda que essa seja irregular. Além disso, foi avaliado o processo de degradação sendo revelado de forma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satisfatória não sendo tão rápido para que estimule os fatores de crescimento e a diferenciação de células progenitoras no tecido danificado e nem tão lento de modo a impedir o crescimento do tecido recém-formado. Estudos também sugerem a atividade antibacteriana de fármacos liberados por hidrogéis a partir de ensaios de liberação. Outra característica importante é sua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hidrofilicidade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permite a absorção de água e a troca de nutrientes entre o tecido e a matriz extracelular. A aplicação desses hidrogéis, entretanto, é limitada devido a pequenos efeitos citotóxicos nas células e sua baixa estabilidade mecânica.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>
        <w:rPr>
          <w:rFonts w:ascii="Times New Roman" w:hAnsi="Times New Roman" w:cs="Times New Roman"/>
          <w:sz w:val="24"/>
          <w:szCs w:val="24"/>
        </w:rPr>
        <w:t>Baseando-se nos estudos já publicados, os hidrogéis injetáveis à base de polissacarídeos e outros polímeros naturais, com sua estrutura porosa homogênea e interconectada, são capazes de mimetizar a matriz extracelular dos tecidos nativos e têm potencial para aplicação em tratamento de feridas e na engenharia de tecidos sem o uso de solventes orgânicos. Além disso, os hidrogéis também podem ser usados para o encapsulamento e liberação de células e drogas.</w:t>
      </w:r>
    </w:p>
    <w:p w14:paraId="47060139" w14:textId="77777777" w:rsidR="006C6937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Hidrogéis; Polissacarídeos; Tecidos. </w:t>
      </w:r>
    </w:p>
    <w:p w14:paraId="4C69C54B" w14:textId="77777777" w:rsidR="006C6937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0C2A311" w14:textId="77777777" w:rsidR="006C6937" w:rsidRDefault="0000000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MAITI, S.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self–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crosslinking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chitosan-gelatin-oxidized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guar </w:t>
      </w:r>
      <w:proofErr w:type="spellStart"/>
      <w:r>
        <w:rPr>
          <w:rFonts w:ascii="Times New Roman" w:hAnsi="Times New Roman" w:cs="Times New Roman"/>
          <w:sz w:val="24"/>
          <w:szCs w:val="24"/>
        </w:rPr>
        <w:t>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Polymer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97, n.107155, mai. 2021. </w:t>
      </w:r>
    </w:p>
    <w:p w14:paraId="15F68E55" w14:textId="77777777" w:rsidR="006C6937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 .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Injectable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polysaccharide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minimally-invasive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Carbohydrate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Polymers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291, n.119585, 01 set. 2022. </w:t>
      </w:r>
    </w:p>
    <w:p w14:paraId="2EBF0D79" w14:textId="77777777" w:rsidR="006C6937" w:rsidRDefault="00000000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WASUPALLI, G.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Thermosensitive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injectable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chitosan-polygalacturonic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polyelectrolyte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Carbohydrate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Polymers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294, n.119769, 15 out. 2022. </w:t>
      </w:r>
    </w:p>
    <w:sectPr w:rsidR="006C6937">
      <w:pgSz w:w="11906" w:h="16838"/>
      <w:pgMar w:top="1701" w:right="113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37"/>
    <w:rsid w:val="004132FF"/>
    <w:rsid w:val="006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04F1"/>
  <w15:docId w15:val="{83993410-1A89-4736-924A-4B930E1F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A2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basedOn w:val="Fontepargpadro"/>
    <w:uiPriority w:val="99"/>
    <w:semiHidden/>
    <w:qFormat/>
    <w:rsid w:val="00B23550"/>
    <w:rPr>
      <w:rFonts w:ascii="Consolas" w:hAnsi="Consolas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sid w:val="00AA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uiPriority w:val="99"/>
    <w:unhideWhenUsed/>
    <w:rsid w:val="004A5D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4A5D99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-formataoHTML">
    <w:name w:val="HTML Preformatted"/>
    <w:basedOn w:val="Normal"/>
    <w:uiPriority w:val="99"/>
    <w:semiHidden/>
    <w:unhideWhenUsed/>
    <w:qFormat/>
    <w:rsid w:val="00B23550"/>
    <w:pPr>
      <w:spacing w:after="0" w:line="240" w:lineRule="auto"/>
    </w:pPr>
    <w:rPr>
      <w:rFonts w:ascii="Consolas" w:hAnsi="Consolas"/>
      <w:sz w:val="20"/>
      <w:szCs w:val="20"/>
    </w:rPr>
  </w:style>
  <w:style w:type="paragraph" w:styleId="SemEspaamento">
    <w:name w:val="No Spacing"/>
    <w:uiPriority w:val="1"/>
    <w:qFormat/>
    <w:rsid w:val="00D55139"/>
    <w:pPr>
      <w:widowControl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Adisom Lucas</dc:creator>
  <dc:description/>
  <cp:lastModifiedBy>Adisom Lucas</cp:lastModifiedBy>
  <cp:revision>7</cp:revision>
  <dcterms:created xsi:type="dcterms:W3CDTF">2022-09-04T00:05:00Z</dcterms:created>
  <dcterms:modified xsi:type="dcterms:W3CDTF">2022-09-06T16:47:00Z</dcterms:modified>
  <dc:language>pt-BR</dc:language>
</cp:coreProperties>
</file>