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832F0" w14:textId="724502D1" w:rsidR="000F45F0" w:rsidRDefault="00AE52FB" w:rsidP="00717750">
      <w:pPr>
        <w:spacing w:after="24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DESAFIOS E POTENCIALIDADES DA ASSISTÊNCIA </w:t>
      </w:r>
      <w:r w:rsidR="00FC0F67">
        <w:rPr>
          <w:b/>
          <w:bCs/>
          <w:sz w:val="24"/>
          <w:szCs w:val="24"/>
        </w:rPr>
        <w:t xml:space="preserve">NOS SERVIÇOS DE SAÚDE </w:t>
      </w:r>
      <w:r>
        <w:rPr>
          <w:b/>
          <w:bCs/>
          <w:sz w:val="24"/>
          <w:szCs w:val="24"/>
        </w:rPr>
        <w:t>A PACIENTES COM DEFICIÊNCIAS</w:t>
      </w:r>
      <w:r w:rsidR="009B24E1">
        <w:rPr>
          <w:b/>
          <w:bCs/>
          <w:sz w:val="24"/>
          <w:szCs w:val="24"/>
        </w:rPr>
        <w:t xml:space="preserve"> SENSORIAIS</w:t>
      </w:r>
      <w:r>
        <w:rPr>
          <w:b/>
          <w:bCs/>
          <w:sz w:val="24"/>
          <w:szCs w:val="24"/>
        </w:rPr>
        <w:t>: UMA REVISÃO INTEGRATIVA</w:t>
      </w:r>
    </w:p>
    <w:p w14:paraId="7DBBCAEB" w14:textId="0C0A08F6" w:rsidR="00F72C84" w:rsidRPr="00996495" w:rsidRDefault="00AE52FB" w:rsidP="00717750">
      <w:pPr>
        <w:pStyle w:val="Corpodetexto"/>
        <w:spacing w:after="240" w:line="360" w:lineRule="auto"/>
        <w:jc w:val="right"/>
        <w:rPr>
          <w:b/>
          <w:vertAlign w:val="superscript"/>
        </w:rPr>
      </w:pPr>
      <w:r>
        <w:rPr>
          <w:b/>
          <w:u w:val="thick"/>
        </w:rPr>
        <w:t>Edna Pinto Medeiros de Lima</w:t>
      </w:r>
      <w:r w:rsidR="006D734D">
        <w:rPr>
          <w:b/>
          <w:u w:val="thick"/>
        </w:rPr>
        <w:t xml:space="preserve"> </w:t>
      </w:r>
      <w:r w:rsidR="0034223A" w:rsidRPr="004101CB">
        <w:rPr>
          <w:b/>
          <w:vertAlign w:val="superscript"/>
        </w:rPr>
        <w:t>1</w:t>
      </w:r>
      <w:r w:rsidR="00BA054F">
        <w:rPr>
          <w:b/>
        </w:rPr>
        <w:t>, Bárbara Leite da Silva</w:t>
      </w:r>
      <w:r w:rsidR="006D734D">
        <w:rPr>
          <w:b/>
        </w:rPr>
        <w:t xml:space="preserve"> </w:t>
      </w:r>
      <w:r w:rsidR="0034223A" w:rsidRPr="004101CB">
        <w:rPr>
          <w:b/>
          <w:vertAlign w:val="superscript"/>
        </w:rPr>
        <w:t>2</w:t>
      </w:r>
      <w:r w:rsidR="00996495">
        <w:rPr>
          <w:b/>
        </w:rPr>
        <w:t>, Bianca Maria de Souza Almeida</w:t>
      </w:r>
      <w:r w:rsidR="006D734D">
        <w:rPr>
          <w:b/>
        </w:rPr>
        <w:t xml:space="preserve"> </w:t>
      </w:r>
      <w:r w:rsidR="00FC0F67" w:rsidRPr="00FC0F67">
        <w:rPr>
          <w:b/>
          <w:vertAlign w:val="superscript"/>
        </w:rPr>
        <w:t>3</w:t>
      </w:r>
      <w:r w:rsidR="00FC0F67">
        <w:rPr>
          <w:b/>
        </w:rPr>
        <w:t>,</w:t>
      </w:r>
      <w:r w:rsidR="0034223A" w:rsidRPr="004101CB">
        <w:rPr>
          <w:b/>
        </w:rPr>
        <w:t xml:space="preserve"> </w:t>
      </w:r>
      <w:r w:rsidR="00BA054F">
        <w:rPr>
          <w:b/>
        </w:rPr>
        <w:t>Carlos Eduardo da Silva Barbosa</w:t>
      </w:r>
      <w:r w:rsidR="006D734D">
        <w:rPr>
          <w:b/>
        </w:rPr>
        <w:t xml:space="preserve"> </w:t>
      </w:r>
      <w:r w:rsidR="00FC0F67">
        <w:rPr>
          <w:b/>
          <w:vertAlign w:val="superscript"/>
        </w:rPr>
        <w:t>4</w:t>
      </w:r>
      <w:r w:rsidR="00FC0F67">
        <w:rPr>
          <w:b/>
        </w:rPr>
        <w:t>,</w:t>
      </w:r>
      <w:r w:rsidR="00FC0F67" w:rsidRPr="00FC0F67">
        <w:rPr>
          <w:b/>
        </w:rPr>
        <w:t xml:space="preserve"> </w:t>
      </w:r>
      <w:r w:rsidR="00BA054F">
        <w:rPr>
          <w:b/>
        </w:rPr>
        <w:t>Fabíola Santos Lima de Oliveira</w:t>
      </w:r>
      <w:r w:rsidR="006D734D">
        <w:rPr>
          <w:b/>
        </w:rPr>
        <w:t xml:space="preserve"> </w:t>
      </w:r>
      <w:r w:rsidR="00FC0F67">
        <w:rPr>
          <w:b/>
          <w:vertAlign w:val="superscript"/>
        </w:rPr>
        <w:t>5</w:t>
      </w:r>
      <w:r w:rsidR="00FC0F67">
        <w:rPr>
          <w:b/>
        </w:rPr>
        <w:t xml:space="preserve">, </w:t>
      </w:r>
      <w:r w:rsidR="00996495">
        <w:rPr>
          <w:b/>
        </w:rPr>
        <w:t>Ingrid Mikaela Moreira de Oliveira</w:t>
      </w:r>
      <w:r w:rsidR="006D734D">
        <w:rPr>
          <w:b/>
        </w:rPr>
        <w:t xml:space="preserve"> </w:t>
      </w:r>
      <w:r w:rsidR="00996495" w:rsidRPr="00996495">
        <w:rPr>
          <w:b/>
          <w:vertAlign w:val="superscript"/>
        </w:rPr>
        <w:t>6</w:t>
      </w:r>
      <w:r w:rsidR="00996495">
        <w:rPr>
          <w:b/>
        </w:rPr>
        <w:t xml:space="preserve">; </w:t>
      </w:r>
      <w:r w:rsidR="00630DC5">
        <w:rPr>
          <w:b/>
        </w:rPr>
        <w:t>Maria Karuline de Sousa</w:t>
      </w:r>
      <w:r w:rsidR="00BA054F">
        <w:rPr>
          <w:b/>
        </w:rPr>
        <w:t xml:space="preserve"> Lima</w:t>
      </w:r>
      <w:r w:rsidR="006D734D">
        <w:rPr>
          <w:b/>
        </w:rPr>
        <w:t xml:space="preserve"> </w:t>
      </w:r>
      <w:r w:rsidR="00A133D3">
        <w:rPr>
          <w:b/>
          <w:vertAlign w:val="superscript"/>
        </w:rPr>
        <w:t>7</w:t>
      </w:r>
      <w:r w:rsidR="00FC0F67">
        <w:rPr>
          <w:b/>
        </w:rPr>
        <w:t xml:space="preserve">, </w:t>
      </w:r>
      <w:r w:rsidR="00996495">
        <w:rPr>
          <w:b/>
        </w:rPr>
        <w:t>Vida Mahãtma Alves Dias</w:t>
      </w:r>
      <w:r w:rsidR="006D734D">
        <w:rPr>
          <w:b/>
        </w:rPr>
        <w:t xml:space="preserve"> </w:t>
      </w:r>
      <w:r w:rsidR="00A133D3">
        <w:rPr>
          <w:b/>
          <w:vertAlign w:val="superscript"/>
        </w:rPr>
        <w:t>8</w:t>
      </w:r>
      <w:r w:rsidR="00996495">
        <w:rPr>
          <w:b/>
        </w:rPr>
        <w:t xml:space="preserve">; </w:t>
      </w:r>
      <w:r w:rsidR="00FC0F67">
        <w:rPr>
          <w:b/>
        </w:rPr>
        <w:t>Nágila Silva Alves</w:t>
      </w:r>
      <w:r w:rsidR="006D734D">
        <w:rPr>
          <w:b/>
        </w:rPr>
        <w:t xml:space="preserve"> </w:t>
      </w:r>
      <w:r w:rsidR="00A133D3">
        <w:rPr>
          <w:b/>
          <w:vertAlign w:val="superscript"/>
        </w:rPr>
        <w:t>9</w:t>
      </w:r>
      <w:r w:rsidR="00FC0F67">
        <w:rPr>
          <w:b/>
        </w:rPr>
        <w:t>.</w:t>
      </w:r>
    </w:p>
    <w:p w14:paraId="7E7164F7" w14:textId="486E9968" w:rsidR="006D734D" w:rsidRDefault="0034223A" w:rsidP="00FC0F67">
      <w:pPr>
        <w:pStyle w:val="Corpodetexto"/>
        <w:spacing w:line="360" w:lineRule="auto"/>
      </w:pPr>
      <w:r w:rsidRPr="004101CB">
        <w:rPr>
          <w:vertAlign w:val="superscript"/>
        </w:rPr>
        <w:t>1</w:t>
      </w:r>
      <w:r w:rsidR="006D734D">
        <w:rPr>
          <w:vertAlign w:val="superscript"/>
        </w:rPr>
        <w:t xml:space="preserve"> </w:t>
      </w:r>
      <w:r w:rsidR="001B0ADD">
        <w:t>Centro Universitário INTA-UNINTA, (ednamedeiros16@gmail.com</w:t>
      </w:r>
      <w:r w:rsidRPr="004101CB">
        <w:t>)</w:t>
      </w:r>
      <w:r w:rsidR="001B0ADD">
        <w:t>;</w:t>
      </w:r>
      <w:r w:rsidRPr="004101CB">
        <w:rPr>
          <w:spacing w:val="1"/>
        </w:rPr>
        <w:t xml:space="preserve"> </w:t>
      </w:r>
      <w:r w:rsidRPr="004101CB">
        <w:rPr>
          <w:vertAlign w:val="superscript"/>
        </w:rPr>
        <w:t>2</w:t>
      </w:r>
      <w:r w:rsidRPr="004101CB">
        <w:t xml:space="preserve"> </w:t>
      </w:r>
      <w:r w:rsidR="00FA3BB7">
        <w:t>Universidade Estadual do Piauí, (babiileiteslv@gmail.com</w:t>
      </w:r>
      <w:r w:rsidRPr="004101CB">
        <w:t>)</w:t>
      </w:r>
      <w:r w:rsidR="00FC0F67">
        <w:t xml:space="preserve">; </w:t>
      </w:r>
      <w:r w:rsidRPr="004101CB">
        <w:rPr>
          <w:spacing w:val="-57"/>
        </w:rPr>
        <w:t xml:space="preserve"> </w:t>
      </w:r>
      <w:r w:rsidRPr="004101CB">
        <w:rPr>
          <w:spacing w:val="-1"/>
          <w:vertAlign w:val="superscript"/>
        </w:rPr>
        <w:t>3</w:t>
      </w:r>
      <w:r w:rsidR="006D734D">
        <w:rPr>
          <w:spacing w:val="-20"/>
        </w:rPr>
        <w:t xml:space="preserve"> </w:t>
      </w:r>
      <w:r w:rsidR="00D4791E">
        <w:rPr>
          <w:spacing w:val="-1"/>
        </w:rPr>
        <w:t>Faculdade Estácio de Teresina</w:t>
      </w:r>
      <w:r w:rsidR="00FC0F67">
        <w:t>, (</w:t>
      </w:r>
      <w:r w:rsidR="00D4791E">
        <w:t>biancaenferm24@gmail.com</w:t>
      </w:r>
      <w:r w:rsidR="00FC0F67">
        <w:t xml:space="preserve">); </w:t>
      </w:r>
      <w:r w:rsidR="00FC0F67">
        <w:rPr>
          <w:spacing w:val="-1"/>
          <w:vertAlign w:val="superscript"/>
        </w:rPr>
        <w:t>4</w:t>
      </w:r>
      <w:r w:rsidR="00FC0F67" w:rsidRPr="004101CB">
        <w:rPr>
          <w:spacing w:val="-20"/>
        </w:rPr>
        <w:t xml:space="preserve"> </w:t>
      </w:r>
      <w:r w:rsidR="00D4791E">
        <w:rPr>
          <w:spacing w:val="-1"/>
        </w:rPr>
        <w:t>Universidade do Grande Rio</w:t>
      </w:r>
      <w:r w:rsidR="00FC0F67">
        <w:t>, (</w:t>
      </w:r>
      <w:hyperlink r:id="rId8" w:history="1">
        <w:r w:rsidR="006D734D" w:rsidRPr="00A54255">
          <w:rPr>
            <w:rStyle w:val="Hyperlink"/>
            <w:color w:val="000000" w:themeColor="text1"/>
            <w:u w:val="none"/>
          </w:rPr>
          <w:t>cedsbzs@gmail.com</w:t>
        </w:r>
      </w:hyperlink>
      <w:r w:rsidR="00FC0F67">
        <w:t xml:space="preserve">); </w:t>
      </w:r>
    </w:p>
    <w:p w14:paraId="2E66DCE8" w14:textId="03F29D32" w:rsidR="000F45F0" w:rsidRPr="00234346" w:rsidRDefault="00FC0F67" w:rsidP="00FC0F67">
      <w:pPr>
        <w:pStyle w:val="Corpodetexto"/>
        <w:spacing w:line="360" w:lineRule="auto"/>
        <w:rPr>
          <w:spacing w:val="-1"/>
          <w:vertAlign w:val="superscript"/>
        </w:rPr>
      </w:pPr>
      <w:r>
        <w:rPr>
          <w:spacing w:val="-1"/>
          <w:vertAlign w:val="superscript"/>
        </w:rPr>
        <w:t>5</w:t>
      </w:r>
      <w:r w:rsidRPr="004101CB">
        <w:rPr>
          <w:spacing w:val="-20"/>
        </w:rPr>
        <w:t xml:space="preserve"> </w:t>
      </w:r>
      <w:r w:rsidR="00D4791E">
        <w:t>Universidade de Taubaté – UNITAU</w:t>
      </w:r>
      <w:r>
        <w:t>, (</w:t>
      </w:r>
      <w:r w:rsidR="00D4791E">
        <w:t>biomedsantos9@gmail.com</w:t>
      </w:r>
      <w:r>
        <w:t xml:space="preserve">); </w:t>
      </w:r>
      <w:r w:rsidR="00630DC5" w:rsidRPr="00630DC5">
        <w:rPr>
          <w:vertAlign w:val="superscript"/>
        </w:rPr>
        <w:t>6</w:t>
      </w:r>
      <w:r w:rsidR="006D734D">
        <w:rPr>
          <w:vertAlign w:val="superscript"/>
        </w:rPr>
        <w:t xml:space="preserve"> </w:t>
      </w:r>
      <w:r w:rsidR="00630DC5">
        <w:t>Universidade Estadual do Ceará – UECE, (</w:t>
      </w:r>
      <w:hyperlink r:id="rId9" w:history="1">
        <w:r w:rsidR="00630DC5" w:rsidRPr="00234346">
          <w:rPr>
            <w:rStyle w:val="Hyperlink"/>
            <w:color w:val="000000" w:themeColor="text1"/>
            <w:u w:val="none"/>
          </w:rPr>
          <w:t>ingrid_lattes@hotmail.com</w:t>
        </w:r>
      </w:hyperlink>
      <w:r w:rsidR="00A133D3">
        <w:t xml:space="preserve">); </w:t>
      </w:r>
      <w:r w:rsidR="00A133D3">
        <w:rPr>
          <w:spacing w:val="-1"/>
          <w:vertAlign w:val="superscript"/>
        </w:rPr>
        <w:t>7</w:t>
      </w:r>
      <w:r w:rsidRPr="004101CB">
        <w:rPr>
          <w:spacing w:val="-20"/>
        </w:rPr>
        <w:t xml:space="preserve"> </w:t>
      </w:r>
      <w:r w:rsidR="00D4791E">
        <w:rPr>
          <w:spacing w:val="-1"/>
        </w:rPr>
        <w:t>Centro Universitário Santo Agostinho - UNIFSA</w:t>
      </w:r>
      <w:r>
        <w:t>, (</w:t>
      </w:r>
      <w:hyperlink r:id="rId10" w:history="1">
        <w:r w:rsidR="00234346" w:rsidRPr="00234346">
          <w:rPr>
            <w:rStyle w:val="Hyperlink"/>
            <w:color w:val="000000" w:themeColor="text1"/>
            <w:u w:val="none"/>
          </w:rPr>
          <w:t>mariakarulinelima@outlook.com</w:t>
        </w:r>
      </w:hyperlink>
      <w:r w:rsidR="00234346">
        <w:t>);</w:t>
      </w:r>
      <w:r w:rsidR="00A133D3">
        <w:rPr>
          <w:vertAlign w:val="superscript"/>
        </w:rPr>
        <w:t xml:space="preserve"> 8</w:t>
      </w:r>
      <w:r w:rsidR="00234346">
        <w:t xml:space="preserve"> Instituto Tocantins Presidente </w:t>
      </w:r>
      <w:r w:rsidR="00A54255">
        <w:t xml:space="preserve"> </w:t>
      </w:r>
      <w:r w:rsidR="00234346">
        <w:t>Antônio Carlos – ITPAC PORTO, (</w:t>
      </w:r>
      <w:hyperlink r:id="rId11" w:history="1">
        <w:r w:rsidR="00234346" w:rsidRPr="00234346">
          <w:rPr>
            <w:rStyle w:val="Hyperlink"/>
            <w:color w:val="000000" w:themeColor="text1"/>
            <w:u w:val="none"/>
          </w:rPr>
          <w:t>vida.mahatma.vm@gmail.com</w:t>
        </w:r>
      </w:hyperlink>
      <w:r w:rsidR="00234346">
        <w:t>);</w:t>
      </w:r>
      <w:r w:rsidR="00234346">
        <w:rPr>
          <w:spacing w:val="-1"/>
          <w:vertAlign w:val="superscript"/>
        </w:rPr>
        <w:t xml:space="preserve"> </w:t>
      </w:r>
      <w:r w:rsidR="00A133D3">
        <w:rPr>
          <w:spacing w:val="-1"/>
          <w:vertAlign w:val="superscript"/>
        </w:rPr>
        <w:t>9</w:t>
      </w:r>
      <w:r w:rsidRPr="004101CB">
        <w:rPr>
          <w:spacing w:val="-20"/>
        </w:rPr>
        <w:t xml:space="preserve"> </w:t>
      </w:r>
      <w:r>
        <w:t>Centro Universitário Santo Agostinho – UNIFSA, (nglarraial@gmail.com)</w:t>
      </w:r>
      <w:r w:rsidR="008D77B3" w:rsidRPr="004101CB">
        <w:t>.</w:t>
      </w:r>
    </w:p>
    <w:p w14:paraId="76D39197" w14:textId="77777777" w:rsidR="00FC0F67" w:rsidRDefault="00FC0F67" w:rsidP="004101CB">
      <w:pPr>
        <w:spacing w:line="360" w:lineRule="auto"/>
        <w:rPr>
          <w:b/>
          <w:sz w:val="24"/>
          <w:szCs w:val="24"/>
        </w:rPr>
      </w:pPr>
    </w:p>
    <w:p w14:paraId="39816D91" w14:textId="6849618F" w:rsidR="008D77B3" w:rsidRPr="004101CB" w:rsidRDefault="0034651B" w:rsidP="004101CB">
      <w:pPr>
        <w:spacing w:line="360" w:lineRule="auto"/>
        <w:rPr>
          <w:sz w:val="24"/>
          <w:szCs w:val="24"/>
        </w:rPr>
      </w:pPr>
      <w:r w:rsidRPr="004101CB">
        <w:rPr>
          <w:b/>
          <w:sz w:val="24"/>
          <w:szCs w:val="24"/>
        </w:rPr>
        <w:t>Área</w:t>
      </w:r>
      <w:r w:rsidR="008D77B3" w:rsidRPr="004101CB">
        <w:rPr>
          <w:b/>
          <w:spacing w:val="-2"/>
          <w:sz w:val="24"/>
          <w:szCs w:val="24"/>
        </w:rPr>
        <w:t xml:space="preserve"> </w:t>
      </w:r>
      <w:r w:rsidR="008D77B3" w:rsidRPr="004101CB">
        <w:rPr>
          <w:b/>
          <w:sz w:val="24"/>
          <w:szCs w:val="24"/>
        </w:rPr>
        <w:t xml:space="preserve">Temática: </w:t>
      </w:r>
      <w:r w:rsidR="00AE52FB">
        <w:rPr>
          <w:sz w:val="24"/>
          <w:szCs w:val="24"/>
        </w:rPr>
        <w:t>Ciências da Saúde</w:t>
      </w:r>
      <w:r w:rsidR="008D77B3" w:rsidRPr="004101CB">
        <w:rPr>
          <w:sz w:val="24"/>
          <w:szCs w:val="24"/>
        </w:rPr>
        <w:t>.</w:t>
      </w:r>
    </w:p>
    <w:p w14:paraId="3555208E" w14:textId="27AECC0C" w:rsidR="008D77B3" w:rsidRPr="004101CB" w:rsidRDefault="008D77B3" w:rsidP="004101CB">
      <w:pPr>
        <w:spacing w:line="360" w:lineRule="auto"/>
        <w:rPr>
          <w:sz w:val="24"/>
          <w:szCs w:val="24"/>
        </w:rPr>
      </w:pPr>
      <w:r w:rsidRPr="004101CB">
        <w:rPr>
          <w:b/>
          <w:sz w:val="24"/>
          <w:szCs w:val="24"/>
        </w:rPr>
        <w:t>E-mail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do</w:t>
      </w:r>
      <w:r w:rsidRPr="004101CB">
        <w:rPr>
          <w:b/>
          <w:spacing w:val="-4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autor</w:t>
      </w:r>
      <w:r w:rsidRPr="004101CB">
        <w:rPr>
          <w:b/>
          <w:spacing w:val="-2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para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correspondência:</w:t>
      </w:r>
      <w:r w:rsidRPr="004101CB">
        <w:rPr>
          <w:b/>
          <w:spacing w:val="1"/>
          <w:sz w:val="24"/>
          <w:szCs w:val="24"/>
        </w:rPr>
        <w:t xml:space="preserve"> </w:t>
      </w:r>
      <w:hyperlink r:id="rId12" w:history="1">
        <w:r w:rsidR="00FC0F67" w:rsidRPr="00D5787A">
          <w:rPr>
            <w:rStyle w:val="Hyperlink"/>
            <w:sz w:val="24"/>
            <w:szCs w:val="24"/>
          </w:rPr>
          <w:t>ednamedeiros16@gmail.com</w:t>
        </w:r>
      </w:hyperlink>
      <w:r w:rsidR="00FC0F67">
        <w:rPr>
          <w:color w:val="000000" w:themeColor="text1"/>
          <w:sz w:val="24"/>
          <w:szCs w:val="24"/>
        </w:rPr>
        <w:t xml:space="preserve"> </w:t>
      </w:r>
    </w:p>
    <w:p w14:paraId="2DD36D59" w14:textId="77777777" w:rsidR="008D77B3" w:rsidRPr="00FC0F67" w:rsidRDefault="008D77B3" w:rsidP="007F45CD">
      <w:pPr>
        <w:pStyle w:val="Corpodetexto"/>
      </w:pPr>
    </w:p>
    <w:p w14:paraId="0EAA8854" w14:textId="6DAD0DF0" w:rsidR="000F45F0" w:rsidRPr="004101CB" w:rsidRDefault="004101CB" w:rsidP="004101CB">
      <w:pPr>
        <w:jc w:val="center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RESUMO</w:t>
      </w:r>
    </w:p>
    <w:p w14:paraId="22FC9591" w14:textId="77777777" w:rsidR="004101CB" w:rsidRPr="004101CB" w:rsidRDefault="004101CB" w:rsidP="004101CB">
      <w:pPr>
        <w:jc w:val="both"/>
        <w:rPr>
          <w:sz w:val="24"/>
          <w:szCs w:val="24"/>
        </w:rPr>
      </w:pPr>
    </w:p>
    <w:p w14:paraId="1534DE14" w14:textId="57C4528C" w:rsidR="000F45F0" w:rsidRPr="00F62B0B" w:rsidRDefault="00740CD2" w:rsidP="004101CB">
      <w:pPr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F62B0B">
        <w:rPr>
          <w:b/>
          <w:bCs/>
          <w:color w:val="0D0D0D" w:themeColor="text1" w:themeTint="F2"/>
          <w:spacing w:val="1"/>
          <w:sz w:val="24"/>
        </w:rPr>
        <w:t>Introdução:</w:t>
      </w:r>
      <w:r w:rsidR="0034651B" w:rsidRPr="00F62B0B">
        <w:rPr>
          <w:b/>
          <w:bCs/>
          <w:color w:val="0D0D0D" w:themeColor="text1" w:themeTint="F2"/>
          <w:spacing w:val="1"/>
          <w:sz w:val="24"/>
        </w:rPr>
        <w:t xml:space="preserve"> </w:t>
      </w:r>
      <w:r w:rsidR="00DD7EEF" w:rsidRPr="00F62B0B">
        <w:rPr>
          <w:color w:val="0D0D0D" w:themeColor="text1" w:themeTint="F2"/>
          <w:sz w:val="24"/>
          <w:szCs w:val="24"/>
          <w:lang w:eastAsia="pt-BR"/>
        </w:rPr>
        <w:t xml:space="preserve">Dentre os princípios do </w:t>
      </w:r>
      <w:r w:rsidR="00E046C2" w:rsidRPr="00F62B0B">
        <w:rPr>
          <w:color w:val="0D0D0D" w:themeColor="text1" w:themeTint="F2"/>
          <w:sz w:val="24"/>
          <w:szCs w:val="24"/>
          <w:lang w:eastAsia="pt-BR"/>
        </w:rPr>
        <w:t>SUS</w:t>
      </w:r>
      <w:r w:rsidR="00DD7EEF" w:rsidRPr="00F62B0B">
        <w:rPr>
          <w:color w:val="0D0D0D" w:themeColor="text1" w:themeTint="F2"/>
          <w:sz w:val="24"/>
          <w:szCs w:val="24"/>
          <w:lang w:eastAsia="pt-BR"/>
        </w:rPr>
        <w:t xml:space="preserve"> pode-se mencionar a acessibilidade, que visa garantir a oferta de servi</w:t>
      </w:r>
      <w:r w:rsidR="00E046C2" w:rsidRPr="00F62B0B">
        <w:rPr>
          <w:color w:val="0D0D0D" w:themeColor="text1" w:themeTint="F2"/>
          <w:sz w:val="24"/>
          <w:szCs w:val="24"/>
          <w:lang w:eastAsia="pt-BR"/>
        </w:rPr>
        <w:t>ços a todas as pessoas e deve ser capaz</w:t>
      </w:r>
      <w:r w:rsidR="00DD7EEF" w:rsidRPr="00F62B0B">
        <w:rPr>
          <w:color w:val="0D0D0D" w:themeColor="text1" w:themeTint="F2"/>
          <w:sz w:val="24"/>
          <w:szCs w:val="24"/>
          <w:lang w:eastAsia="pt-BR"/>
        </w:rPr>
        <w:t xml:space="preserve"> de solucionar os problemas reivindicados. </w:t>
      </w:r>
      <w:r w:rsidR="00DD7EEF" w:rsidRPr="00F62B0B">
        <w:rPr>
          <w:color w:val="0D0D0D" w:themeColor="text1" w:themeTint="F2"/>
          <w:sz w:val="24"/>
          <w:szCs w:val="24"/>
          <w:shd w:val="clear" w:color="auto" w:fill="FFFFFF"/>
        </w:rPr>
        <w:t>É possível perceber que, tanto no Brasil quanto no restante do mundo, as estatísticas de maior prevalência apontam para deficientes visuais e auditivos, haja vista o envelhecimento da população está diretamente interligado ao crescimento destas deficiências, uma vez que são predominantemente alcançadas no decorrer da vida.</w:t>
      </w:r>
      <w:r w:rsidR="00DD7EEF" w:rsidRPr="00F62B0B">
        <w:rPr>
          <w:color w:val="0D0D0D" w:themeColor="text1" w:themeTint="F2"/>
          <w:sz w:val="24"/>
          <w:szCs w:val="24"/>
          <w:lang w:eastAsia="pt-BR"/>
        </w:rPr>
        <w:t xml:space="preserve"> </w:t>
      </w:r>
      <w:r w:rsidRPr="00F62B0B">
        <w:rPr>
          <w:b/>
          <w:bCs/>
          <w:color w:val="0D0D0D" w:themeColor="text1" w:themeTint="F2"/>
          <w:sz w:val="24"/>
        </w:rPr>
        <w:t>Objetivo:</w:t>
      </w:r>
      <w:r w:rsidR="00405A04" w:rsidRPr="00F62B0B">
        <w:rPr>
          <w:b/>
          <w:bCs/>
          <w:color w:val="0D0D0D" w:themeColor="text1" w:themeTint="F2"/>
          <w:sz w:val="24"/>
        </w:rPr>
        <w:t xml:space="preserve"> </w:t>
      </w:r>
      <w:r w:rsidR="0005315B" w:rsidRPr="00F62B0B">
        <w:rPr>
          <w:color w:val="0D0D0D" w:themeColor="text1" w:themeTint="F2"/>
          <w:sz w:val="24"/>
          <w:szCs w:val="24"/>
          <w:shd w:val="clear" w:color="auto" w:fill="FFFFFF"/>
        </w:rPr>
        <w:t>Analisar</w:t>
      </w:r>
      <w:r w:rsidR="00405A04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os desafios e potencialidades da assistência nos serviços de saúde a pacientes com de</w:t>
      </w:r>
      <w:r w:rsidR="00296438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ficiências </w:t>
      </w:r>
      <w:r w:rsidR="00405A04" w:rsidRPr="00F62B0B">
        <w:rPr>
          <w:color w:val="0D0D0D" w:themeColor="text1" w:themeTint="F2"/>
          <w:sz w:val="24"/>
          <w:szCs w:val="24"/>
          <w:shd w:val="clear" w:color="auto" w:fill="FFFFFF"/>
        </w:rPr>
        <w:t>sensoriais.</w:t>
      </w:r>
      <w:r w:rsidR="0034223A" w:rsidRPr="00F62B0B">
        <w:rPr>
          <w:b/>
          <w:bCs/>
          <w:color w:val="0D0D0D" w:themeColor="text1" w:themeTint="F2"/>
          <w:spacing w:val="1"/>
          <w:sz w:val="24"/>
        </w:rPr>
        <w:t xml:space="preserve"> </w:t>
      </w:r>
      <w:r w:rsidR="00AC1D15" w:rsidRPr="00F62B0B">
        <w:rPr>
          <w:b/>
          <w:bCs/>
          <w:color w:val="0D0D0D" w:themeColor="text1" w:themeTint="F2"/>
          <w:sz w:val="24"/>
        </w:rPr>
        <w:t>Método</w:t>
      </w:r>
      <w:r w:rsidRPr="00F62B0B">
        <w:rPr>
          <w:b/>
          <w:bCs/>
          <w:color w:val="0D0D0D" w:themeColor="text1" w:themeTint="F2"/>
          <w:sz w:val="24"/>
        </w:rPr>
        <w:t>:</w:t>
      </w:r>
      <w:r w:rsidR="00AC1D15" w:rsidRPr="00F62B0B">
        <w:rPr>
          <w:b/>
          <w:bCs/>
          <w:color w:val="0D0D0D" w:themeColor="text1" w:themeTint="F2"/>
          <w:sz w:val="24"/>
        </w:rPr>
        <w:t xml:space="preserve"> </w:t>
      </w:r>
      <w:r w:rsidR="00AC1D15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Revisão integrativa de literatura. As buscas foram realizadas nas bases de dados LILACS, BDENF, MEDLINE e SciELO, utilizando os descritores </w:t>
      </w:r>
      <w:r w:rsidR="00AC1D15" w:rsidRPr="00F62B0B">
        <w:rPr>
          <w:color w:val="0D0D0D" w:themeColor="text1" w:themeTint="F2"/>
          <w:sz w:val="24"/>
          <w:szCs w:val="24"/>
        </w:rPr>
        <w:t>“Assistência à saúde”, “Deficientes” e “</w:t>
      </w:r>
      <w:r w:rsidR="00C90E5A" w:rsidRPr="00F62B0B">
        <w:rPr>
          <w:color w:val="0D0D0D" w:themeColor="text1" w:themeTint="F2"/>
          <w:sz w:val="24"/>
          <w:szCs w:val="24"/>
        </w:rPr>
        <w:t xml:space="preserve">Acesso aos </w:t>
      </w:r>
      <w:r w:rsidR="00CF4F44" w:rsidRPr="00F62B0B">
        <w:rPr>
          <w:color w:val="0D0D0D" w:themeColor="text1" w:themeTint="F2"/>
          <w:sz w:val="24"/>
          <w:szCs w:val="24"/>
        </w:rPr>
        <w:t>s</w:t>
      </w:r>
      <w:r w:rsidR="00AC1D15" w:rsidRPr="00F62B0B">
        <w:rPr>
          <w:color w:val="0D0D0D" w:themeColor="text1" w:themeTint="F2"/>
          <w:sz w:val="24"/>
          <w:szCs w:val="24"/>
        </w:rPr>
        <w:t>erviços de saúde”</w:t>
      </w:r>
      <w:r w:rsidR="00AC1D15" w:rsidRPr="00F62B0B">
        <w:rPr>
          <w:color w:val="0D0D0D" w:themeColor="text1" w:themeTint="F2"/>
          <w:sz w:val="24"/>
          <w:szCs w:val="24"/>
          <w:shd w:val="clear" w:color="auto" w:fill="FFFFFF"/>
        </w:rPr>
        <w:t>, combinados pelo operador booleano “AND”. Foram obtidos 34 resultados</w:t>
      </w:r>
      <w:r w:rsidR="00CF4F44" w:rsidRPr="00F62B0B">
        <w:rPr>
          <w:color w:val="0D0D0D" w:themeColor="text1" w:themeTint="F2"/>
          <w:sz w:val="24"/>
          <w:szCs w:val="24"/>
          <w:shd w:val="clear" w:color="auto" w:fill="FFFFFF"/>
        </w:rPr>
        <w:t>,</w:t>
      </w:r>
      <w:r w:rsidR="00AC1D15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após</w:t>
      </w:r>
      <w:r w:rsidR="00CF4F44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isso, estabeleceu-se como critérios de inclusão</w:t>
      </w:r>
      <w:r w:rsidR="00CF4F44" w:rsidRPr="00F62B0B">
        <w:rPr>
          <w:color w:val="0D0D0D" w:themeColor="text1" w:themeTint="F2"/>
          <w:sz w:val="24"/>
          <w:szCs w:val="24"/>
        </w:rPr>
        <w:t>: textos completos, artigos publicados nos últimos cinco anos, idiomas português, inglês e espanhol e que correspondessem ao objetivo da investigação. Como critérios de exclusão foram adotad</w:t>
      </w:r>
      <w:r w:rsidR="00D314F2" w:rsidRPr="00F62B0B">
        <w:rPr>
          <w:color w:val="0D0D0D" w:themeColor="text1" w:themeTint="F2"/>
          <w:sz w:val="24"/>
          <w:szCs w:val="24"/>
        </w:rPr>
        <w:t>os: artigos duplicados, resumos e</w:t>
      </w:r>
      <w:r w:rsidR="00CF4F44" w:rsidRPr="00F62B0B">
        <w:rPr>
          <w:color w:val="0D0D0D" w:themeColor="text1" w:themeTint="F2"/>
          <w:sz w:val="24"/>
          <w:szCs w:val="24"/>
        </w:rPr>
        <w:t xml:space="preserve"> </w:t>
      </w:r>
      <w:r w:rsidR="00D314F2" w:rsidRPr="00F62B0B">
        <w:rPr>
          <w:color w:val="0D0D0D" w:themeColor="text1" w:themeTint="F2"/>
          <w:sz w:val="24"/>
          <w:szCs w:val="24"/>
        </w:rPr>
        <w:t>anais</w:t>
      </w:r>
      <w:r w:rsidR="00CF4F44" w:rsidRPr="00F62B0B">
        <w:rPr>
          <w:color w:val="0D0D0D" w:themeColor="text1" w:themeTint="F2"/>
          <w:sz w:val="24"/>
          <w:szCs w:val="24"/>
        </w:rPr>
        <w:t>.</w:t>
      </w:r>
      <w:r w:rsidR="00CF4F44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Dados os critérios,</w:t>
      </w:r>
      <w:r w:rsidR="00AC1D15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reduziu-se este quantitativo para 17 artigos. D</w:t>
      </w:r>
      <w:r w:rsidR="005A661E" w:rsidRPr="00F62B0B">
        <w:rPr>
          <w:color w:val="0D0D0D" w:themeColor="text1" w:themeTint="F2"/>
          <w:sz w:val="24"/>
          <w:szCs w:val="24"/>
          <w:shd w:val="clear" w:color="auto" w:fill="FFFFFF"/>
        </w:rPr>
        <w:t>estes, 8 foram selecionados para análise e discussão</w:t>
      </w:r>
      <w:r w:rsidR="00AC1D15" w:rsidRPr="00F62B0B">
        <w:rPr>
          <w:color w:val="0D0D0D" w:themeColor="text1" w:themeTint="F2"/>
          <w:sz w:val="24"/>
          <w:szCs w:val="24"/>
          <w:shd w:val="clear" w:color="auto" w:fill="FFFFFF"/>
        </w:rPr>
        <w:t>.</w:t>
      </w:r>
      <w:r w:rsidR="0034223A" w:rsidRPr="00F62B0B">
        <w:rPr>
          <w:b/>
          <w:bCs/>
          <w:color w:val="0D0D0D" w:themeColor="text1" w:themeTint="F2"/>
          <w:spacing w:val="-1"/>
          <w:sz w:val="24"/>
        </w:rPr>
        <w:t xml:space="preserve"> </w:t>
      </w:r>
      <w:r w:rsidR="0034223A" w:rsidRPr="00F62B0B">
        <w:rPr>
          <w:b/>
          <w:bCs/>
          <w:color w:val="0D0D0D" w:themeColor="text1" w:themeTint="F2"/>
          <w:sz w:val="24"/>
        </w:rPr>
        <w:t>Resultados</w:t>
      </w:r>
      <w:r w:rsidRPr="00F62B0B">
        <w:rPr>
          <w:b/>
          <w:bCs/>
          <w:color w:val="0D0D0D" w:themeColor="text1" w:themeTint="F2"/>
          <w:sz w:val="24"/>
        </w:rPr>
        <w:t>:</w:t>
      </w:r>
      <w:r w:rsidR="0034223A" w:rsidRPr="00F62B0B">
        <w:rPr>
          <w:b/>
          <w:bCs/>
          <w:color w:val="0D0D0D" w:themeColor="text1" w:themeTint="F2"/>
          <w:spacing w:val="1"/>
          <w:sz w:val="24"/>
        </w:rPr>
        <w:t xml:space="preserve"> </w:t>
      </w:r>
      <w:r w:rsidR="00E046C2" w:rsidRPr="00F62B0B">
        <w:rPr>
          <w:bCs/>
          <w:color w:val="0D0D0D" w:themeColor="text1" w:themeTint="F2"/>
          <w:spacing w:val="1"/>
          <w:sz w:val="24"/>
        </w:rPr>
        <w:t xml:space="preserve">Como principais desafios, identificou-se: </w:t>
      </w:r>
      <w:r w:rsidR="00E046C2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a ausência de comunicação efetiva no elo profissional-paciente, o diálogo superficial no momento da anamnese e execução do exame físico; dificuldades para compreensão do tratamento prescrito e marcação de consultas, etc. Quanto as potencialidades, tem-se a utilização de medidas que facilitem o acesso deste público ao serviço de saúde, como </w:t>
      </w:r>
      <w:r w:rsidR="00E046C2" w:rsidRPr="00F62B0B">
        <w:rPr>
          <w:color w:val="0D0D0D" w:themeColor="text1" w:themeTint="F2"/>
          <w:sz w:val="24"/>
          <w:szCs w:val="24"/>
          <w:shd w:val="clear" w:color="auto" w:fill="FFFFFF"/>
        </w:rPr>
        <w:lastRenderedPageBreak/>
        <w:t>a utilização da linguagem de sinais, braille, capacitação dos profissionais, dentre outros.</w:t>
      </w:r>
      <w:r w:rsidR="0034223A" w:rsidRPr="00F62B0B">
        <w:rPr>
          <w:b/>
          <w:bCs/>
          <w:color w:val="0D0D0D" w:themeColor="text1" w:themeTint="F2"/>
          <w:sz w:val="24"/>
        </w:rPr>
        <w:t>Considerações</w:t>
      </w:r>
      <w:r w:rsidR="0034223A" w:rsidRPr="00F62B0B">
        <w:rPr>
          <w:b/>
          <w:bCs/>
          <w:color w:val="0D0D0D" w:themeColor="text1" w:themeTint="F2"/>
          <w:spacing w:val="-2"/>
          <w:sz w:val="24"/>
        </w:rPr>
        <w:t xml:space="preserve"> </w:t>
      </w:r>
      <w:r w:rsidRPr="00F62B0B">
        <w:rPr>
          <w:b/>
          <w:bCs/>
          <w:color w:val="0D0D0D" w:themeColor="text1" w:themeTint="F2"/>
          <w:sz w:val="24"/>
        </w:rPr>
        <w:t>Finais:</w:t>
      </w:r>
      <w:r w:rsidR="00A57B94" w:rsidRPr="00F62B0B">
        <w:rPr>
          <w:b/>
          <w:bCs/>
          <w:color w:val="0D0D0D" w:themeColor="text1" w:themeTint="F2"/>
          <w:sz w:val="24"/>
        </w:rPr>
        <w:t xml:space="preserve"> </w:t>
      </w:r>
      <w:r w:rsidR="00A57B94" w:rsidRPr="00F62B0B">
        <w:rPr>
          <w:color w:val="0D0D0D" w:themeColor="text1" w:themeTint="F2"/>
          <w:sz w:val="24"/>
          <w:szCs w:val="24"/>
        </w:rPr>
        <w:t xml:space="preserve">Muitos são os obstáculos no que diz respeito a assistência à saúde de pacientes acometidos por deficiências sensoriais, especialmente visuais e auditivas. No entanto, existem recursos capazes de minimizar tais barreiras, facilitando o acesso destes indivíduos aos serviços de saúde.  </w:t>
      </w:r>
    </w:p>
    <w:p w14:paraId="276ECD95" w14:textId="77777777" w:rsidR="008E7873" w:rsidRPr="0034651B" w:rsidRDefault="008E7873" w:rsidP="004101CB">
      <w:pPr>
        <w:jc w:val="both"/>
        <w:rPr>
          <w:b/>
          <w:bCs/>
          <w:sz w:val="24"/>
        </w:rPr>
      </w:pPr>
    </w:p>
    <w:p w14:paraId="60D18E17" w14:textId="76FFD4B2" w:rsidR="008E7873" w:rsidRDefault="0034223A" w:rsidP="004101CB">
      <w:pPr>
        <w:jc w:val="both"/>
        <w:rPr>
          <w:sz w:val="24"/>
        </w:rPr>
      </w:pPr>
      <w:r w:rsidRPr="007F45CD">
        <w:rPr>
          <w:b/>
          <w:sz w:val="24"/>
        </w:rPr>
        <w:t xml:space="preserve">Palavras-chave: </w:t>
      </w:r>
      <w:r w:rsidR="0007212D">
        <w:rPr>
          <w:sz w:val="24"/>
        </w:rPr>
        <w:t>Assistência à saúde; Deficientes</w:t>
      </w:r>
      <w:r w:rsidRPr="007F45CD">
        <w:rPr>
          <w:sz w:val="24"/>
        </w:rPr>
        <w:t xml:space="preserve">; </w:t>
      </w:r>
      <w:r w:rsidR="00C90E5A">
        <w:rPr>
          <w:sz w:val="24"/>
        </w:rPr>
        <w:t>Acesso aos s</w:t>
      </w:r>
      <w:r w:rsidR="00546993">
        <w:rPr>
          <w:sz w:val="24"/>
        </w:rPr>
        <w:t>erviços de s</w:t>
      </w:r>
      <w:r w:rsidR="0007212D">
        <w:rPr>
          <w:sz w:val="24"/>
        </w:rPr>
        <w:t>aúde</w:t>
      </w:r>
      <w:r w:rsidRPr="007F45CD">
        <w:rPr>
          <w:sz w:val="24"/>
        </w:rPr>
        <w:t>.</w:t>
      </w:r>
    </w:p>
    <w:p w14:paraId="5A4DA21E" w14:textId="2B547D31" w:rsidR="00E27DD3" w:rsidRPr="0077355B" w:rsidRDefault="0034223A" w:rsidP="0077355B">
      <w:pPr>
        <w:jc w:val="both"/>
        <w:rPr>
          <w:spacing w:val="1"/>
          <w:sz w:val="24"/>
        </w:rPr>
      </w:pPr>
      <w:r w:rsidRPr="007F45CD">
        <w:rPr>
          <w:spacing w:val="1"/>
          <w:sz w:val="24"/>
        </w:rPr>
        <w:t xml:space="preserve"> </w:t>
      </w:r>
    </w:p>
    <w:p w14:paraId="0F9D1276" w14:textId="6E5956A2" w:rsidR="00FD72B7" w:rsidRDefault="0034223A" w:rsidP="00F62B0B">
      <w:pPr>
        <w:spacing w:after="240"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1</w:t>
      </w:r>
      <w:r w:rsidRPr="004101CB">
        <w:rPr>
          <w:b/>
          <w:bCs/>
          <w:spacing w:val="-5"/>
          <w:sz w:val="24"/>
          <w:szCs w:val="24"/>
        </w:rPr>
        <w:t xml:space="preserve"> </w:t>
      </w:r>
      <w:r w:rsidRPr="004101CB">
        <w:rPr>
          <w:b/>
          <w:bCs/>
          <w:sz w:val="24"/>
          <w:szCs w:val="24"/>
        </w:rPr>
        <w:t>INTRODUÇÃO</w:t>
      </w:r>
    </w:p>
    <w:p w14:paraId="0148D669" w14:textId="77777777" w:rsidR="00877F48" w:rsidRPr="00F62B0B" w:rsidRDefault="00FD72B7" w:rsidP="00F62B0B">
      <w:pPr>
        <w:shd w:val="clear" w:color="auto" w:fill="FFFFFF"/>
        <w:spacing w:line="360" w:lineRule="auto"/>
        <w:jc w:val="both"/>
        <w:rPr>
          <w:color w:val="0D0D0D" w:themeColor="text1" w:themeTint="F2"/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tab/>
      </w:r>
      <w:r w:rsidRPr="00F62B0B">
        <w:rPr>
          <w:color w:val="0D0D0D" w:themeColor="text1" w:themeTint="F2"/>
          <w:sz w:val="24"/>
          <w:szCs w:val="24"/>
          <w:lang w:eastAsia="pt-BR"/>
        </w:rPr>
        <w:t>Dentre os princípios do Sistema Único de Saúde (SUS) pode-se mencionar a acessibilidade, que visa garantir a oferta de serviços a todas as pessoas, os quais devem ser capazes de solucionar os imprescindíveis problemas reivindicados. A definição de acessibilidade está inter-relacionada às necessidades dos indivíduos que possuem deficiências. Tal grupo é classificado deste modo em razão de manifestarem perda parcial ou total de determinadas funções ou estruturas corporais, ocasionando adversidades pontuais e aumentando a susceptibilidade de limitações em seu envo</w:t>
      </w:r>
      <w:r w:rsidR="00877F48" w:rsidRPr="00F62B0B">
        <w:rPr>
          <w:color w:val="0D0D0D" w:themeColor="text1" w:themeTint="F2"/>
          <w:sz w:val="24"/>
          <w:szCs w:val="24"/>
          <w:lang w:eastAsia="pt-BR"/>
        </w:rPr>
        <w:t>lvimento social (BRASIL, 2004).</w:t>
      </w:r>
    </w:p>
    <w:p w14:paraId="005C6BB6" w14:textId="2E5FD359" w:rsidR="00966F1B" w:rsidRPr="00F62B0B" w:rsidRDefault="00966F1B" w:rsidP="00F62B0B">
      <w:pPr>
        <w:shd w:val="clear" w:color="auto" w:fill="FFFFFF"/>
        <w:spacing w:line="360" w:lineRule="auto"/>
        <w:ind w:firstLine="708"/>
        <w:jc w:val="both"/>
        <w:rPr>
          <w:color w:val="0D0D0D" w:themeColor="text1" w:themeTint="F2"/>
          <w:sz w:val="24"/>
          <w:szCs w:val="24"/>
          <w:lang w:eastAsia="pt-BR"/>
        </w:rPr>
      </w:pP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É possível perceber que, tanto no Brasil quanto no restante do mundo, as estatísticas de maior prevalência apontam par</w:t>
      </w:r>
      <w:r w:rsidR="00543F8B" w:rsidRPr="00F62B0B">
        <w:rPr>
          <w:color w:val="0D0D0D" w:themeColor="text1" w:themeTint="F2"/>
          <w:sz w:val="24"/>
          <w:szCs w:val="24"/>
          <w:shd w:val="clear" w:color="auto" w:fill="FFFFFF"/>
        </w:rPr>
        <w:t>a deficientes visuais e auditivo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s, </w:t>
      </w:r>
      <w:r w:rsidR="00297B3D" w:rsidRPr="00F62B0B">
        <w:rPr>
          <w:color w:val="0D0D0D" w:themeColor="text1" w:themeTint="F2"/>
          <w:sz w:val="24"/>
          <w:szCs w:val="24"/>
          <w:shd w:val="clear" w:color="auto" w:fill="FFFFFF"/>
        </w:rPr>
        <w:t>haja vista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o envelhecimento da população está</w:t>
      </w:r>
      <w:r w:rsidR="00F56AFF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diretamente inter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ligado ao crescimento destas deficiências, uma vez que são predominantemente alc</w:t>
      </w:r>
      <w:r w:rsidR="00B848B8" w:rsidRPr="00F62B0B">
        <w:rPr>
          <w:color w:val="0D0D0D" w:themeColor="text1" w:themeTint="F2"/>
          <w:sz w:val="24"/>
          <w:szCs w:val="24"/>
          <w:shd w:val="clear" w:color="auto" w:fill="FFFFFF"/>
        </w:rPr>
        <w:t>ançadas no decorrer da vida (MALTA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F62B0B">
        <w:rPr>
          <w:i/>
          <w:color w:val="0D0D0D" w:themeColor="text1" w:themeTint="F2"/>
          <w:sz w:val="24"/>
          <w:szCs w:val="24"/>
          <w:shd w:val="clear" w:color="auto" w:fill="FFFFFF"/>
        </w:rPr>
        <w:t>et al</w:t>
      </w:r>
      <w:r w:rsidR="00B848B8" w:rsidRPr="00F62B0B">
        <w:rPr>
          <w:color w:val="0D0D0D" w:themeColor="text1" w:themeTint="F2"/>
          <w:sz w:val="24"/>
          <w:szCs w:val="24"/>
          <w:shd w:val="clear" w:color="auto" w:fill="FFFFFF"/>
        </w:rPr>
        <w:t>., 2016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).</w:t>
      </w:r>
      <w:r w:rsidR="00A37A9F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De acordo com dive</w:t>
      </w:r>
      <w:r w:rsidR="008816BD" w:rsidRPr="00F62B0B">
        <w:rPr>
          <w:color w:val="0D0D0D" w:themeColor="text1" w:themeTint="F2"/>
          <w:sz w:val="24"/>
          <w:szCs w:val="24"/>
          <w:shd w:val="clear" w:color="auto" w:fill="FFFFFF"/>
        </w:rPr>
        <w:t>rsas pesquisas realizadas, 15,3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% da população mundial apresenta deficiências graves, com importante comprometimento da realização das atividades da vida diária, atingindo o quantitativo de 2,9%. Todavia, 10,</w:t>
      </w:r>
      <w:r w:rsidR="008816BD" w:rsidRPr="00F62B0B">
        <w:rPr>
          <w:color w:val="0D0D0D" w:themeColor="text1" w:themeTint="F2"/>
          <w:sz w:val="24"/>
          <w:szCs w:val="24"/>
          <w:shd w:val="clear" w:color="auto" w:fill="FFFFFF"/>
        </w:rPr>
        <w:t>2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% dos indivíduos acima de 60 anos relatam graves deficiê</w:t>
      </w:r>
      <w:r w:rsidR="008816BD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ncias, havendo a necessidade </w:t>
      </w:r>
      <w:r w:rsidR="00972198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de </w:t>
      </w:r>
      <w:r w:rsidR="008816BD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receberem 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auxílios</w:t>
      </w:r>
      <w:r w:rsidR="003D1186" w:rsidRPr="00F62B0B">
        <w:rPr>
          <w:color w:val="0D0D0D" w:themeColor="text1" w:themeTint="F2"/>
          <w:sz w:val="24"/>
          <w:szCs w:val="24"/>
          <w:shd w:val="clear" w:color="auto" w:fill="FFFFFF"/>
        </w:rPr>
        <w:t>,</w:t>
      </w:r>
      <w:r w:rsidR="005E1E44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para só então</w:t>
      </w:r>
      <w:r w:rsidR="003D1186" w:rsidRPr="00F62B0B">
        <w:rPr>
          <w:color w:val="0D0D0D" w:themeColor="text1" w:themeTint="F2"/>
          <w:sz w:val="24"/>
          <w:szCs w:val="24"/>
          <w:shd w:val="clear" w:color="auto" w:fill="FFFFFF"/>
        </w:rPr>
        <w:t>,</w:t>
      </w:r>
      <w:r w:rsidR="005E1E44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conseguirem desempenhar suas tarefas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r w:rsidR="00A37A9F" w:rsidRPr="00F62B0B">
        <w:rPr>
          <w:color w:val="0D0D0D" w:themeColor="text1" w:themeTint="F2"/>
          <w:sz w:val="24"/>
          <w:szCs w:val="24"/>
          <w:shd w:val="clear" w:color="auto" w:fill="FFFFFF"/>
        </w:rPr>
        <w:t>WORLD HEALTH ORGANIZATION, 2012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).</w:t>
      </w:r>
      <w:r w:rsidR="00D314F2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14:paraId="03937385" w14:textId="77777777" w:rsidR="00F62B0B" w:rsidRDefault="008640F8" w:rsidP="00F62B0B">
      <w:pPr>
        <w:spacing w:line="360" w:lineRule="auto"/>
        <w:ind w:firstLine="708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Indivíduos portadores de necessidades especiais</w:t>
      </w:r>
      <w:r w:rsidR="00D314F2" w:rsidRPr="00F62B0B">
        <w:rPr>
          <w:color w:val="0D0D0D" w:themeColor="text1" w:themeTint="F2"/>
          <w:sz w:val="24"/>
          <w:szCs w:val="24"/>
          <w:shd w:val="clear" w:color="auto" w:fill="FFFFFF"/>
        </w:rPr>
        <w:t>,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notoriamente exprimem maiores demandas não solucionadas no que diz respeito aos serviços de saúde, ou seja, denotam obstáculos na resolubilidade de seus problemas quando realizado um paralelo com o público geral. A acessibilidade aos serviços também torna-se complexa. Desse modo, é possível classificar as barreiras de tal acesso em três categorias distintas: estrutural, financeira e cultural. Estas, não prejudicam totalmente o ingresso dessas pessoas aos serviços, entretanto, atinge</w:t>
      </w:r>
      <w:r w:rsidR="002E3873" w:rsidRPr="00F62B0B">
        <w:rPr>
          <w:color w:val="0D0D0D" w:themeColor="text1" w:themeTint="F2"/>
          <w:sz w:val="24"/>
          <w:szCs w:val="24"/>
          <w:shd w:val="clear" w:color="auto" w:fill="FFFFFF"/>
        </w:rPr>
        <w:t>m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com maior impacto esta parte da população (CASEY </w:t>
      </w:r>
      <w:r w:rsidRPr="00F62B0B">
        <w:rPr>
          <w:i/>
          <w:color w:val="0D0D0D" w:themeColor="text1" w:themeTint="F2"/>
          <w:sz w:val="24"/>
          <w:szCs w:val="24"/>
          <w:shd w:val="clear" w:color="auto" w:fill="FFFFFF"/>
        </w:rPr>
        <w:t>et al</w:t>
      </w:r>
      <w:r w:rsidR="007E727D" w:rsidRPr="00F62B0B">
        <w:rPr>
          <w:color w:val="0D0D0D" w:themeColor="text1" w:themeTint="F2"/>
          <w:sz w:val="24"/>
          <w:szCs w:val="24"/>
          <w:shd w:val="clear" w:color="auto" w:fill="FFFFFF"/>
        </w:rPr>
        <w:t>., 2015).</w:t>
      </w:r>
    </w:p>
    <w:p w14:paraId="7CAA6F82" w14:textId="4AC3577C" w:rsidR="00F62B0B" w:rsidRPr="005853FE" w:rsidRDefault="0031760D" w:rsidP="00F62B0B">
      <w:pPr>
        <w:spacing w:line="360" w:lineRule="auto"/>
        <w:ind w:firstLine="708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5853FE">
        <w:rPr>
          <w:color w:val="0D0D0D" w:themeColor="text1" w:themeTint="F2"/>
          <w:sz w:val="24"/>
          <w:szCs w:val="24"/>
        </w:rPr>
        <w:t xml:space="preserve">Ante ao </w:t>
      </w:r>
      <w:r w:rsidR="002C798E" w:rsidRPr="005853FE">
        <w:rPr>
          <w:color w:val="0D0D0D" w:themeColor="text1" w:themeTint="F2"/>
          <w:sz w:val="24"/>
          <w:szCs w:val="24"/>
        </w:rPr>
        <w:t>exposto</w:t>
      </w:r>
      <w:r w:rsidRPr="005853FE">
        <w:rPr>
          <w:color w:val="0D0D0D" w:themeColor="text1" w:themeTint="F2"/>
          <w:sz w:val="24"/>
          <w:szCs w:val="24"/>
        </w:rPr>
        <w:t xml:space="preserve">, infere-se que a dificuldade em atender pacientes com deficiências sensoriais é, ao que parece, maior quando comparada ao atendimento de indivíduos que possuem deficiências físicas ou cognitivas. Dessa maneira, </w:t>
      </w:r>
      <w:r w:rsidR="002C798E" w:rsidRPr="005853FE">
        <w:rPr>
          <w:color w:val="0D0D0D" w:themeColor="text1" w:themeTint="F2"/>
          <w:sz w:val="24"/>
          <w:szCs w:val="24"/>
        </w:rPr>
        <w:t>analisar</w:t>
      </w:r>
      <w:r w:rsidRPr="005853FE">
        <w:rPr>
          <w:color w:val="0D0D0D" w:themeColor="text1" w:themeTint="F2"/>
          <w:sz w:val="24"/>
          <w:szCs w:val="24"/>
        </w:rPr>
        <w:t>-se-á as diversas limitações que esta população enfrenta quando buscam o serviço de saúde, bem como as</w:t>
      </w:r>
      <w:r w:rsidR="008825C0" w:rsidRPr="005853FE">
        <w:rPr>
          <w:color w:val="0D0D0D" w:themeColor="text1" w:themeTint="F2"/>
          <w:sz w:val="24"/>
          <w:szCs w:val="24"/>
        </w:rPr>
        <w:t xml:space="preserve"> medidas que </w:t>
      </w:r>
      <w:r w:rsidR="008825C0" w:rsidRPr="005853FE">
        <w:rPr>
          <w:color w:val="0D0D0D" w:themeColor="text1" w:themeTint="F2"/>
          <w:sz w:val="24"/>
          <w:szCs w:val="24"/>
        </w:rPr>
        <w:lastRenderedPageBreak/>
        <w:t>potencializa</w:t>
      </w:r>
      <w:r w:rsidRPr="005853FE">
        <w:rPr>
          <w:color w:val="0D0D0D" w:themeColor="text1" w:themeTint="F2"/>
          <w:sz w:val="24"/>
          <w:szCs w:val="24"/>
        </w:rPr>
        <w:t>m a assistência qualificada a estas pessoas</w:t>
      </w:r>
      <w:r w:rsidR="008825C0" w:rsidRPr="005853FE">
        <w:rPr>
          <w:color w:val="0D0D0D" w:themeColor="text1" w:themeTint="F2"/>
          <w:sz w:val="24"/>
          <w:szCs w:val="24"/>
        </w:rPr>
        <w:t>.</w:t>
      </w:r>
    </w:p>
    <w:p w14:paraId="151AE7C2" w14:textId="4439C87B" w:rsidR="004B0817" w:rsidRPr="00F62B0B" w:rsidRDefault="004B0817" w:rsidP="00F62B0B">
      <w:pPr>
        <w:spacing w:before="240" w:after="240" w:line="360" w:lineRule="auto"/>
        <w:jc w:val="both"/>
        <w:rPr>
          <w:b/>
          <w:color w:val="0D0D0D" w:themeColor="text1" w:themeTint="F2"/>
          <w:sz w:val="24"/>
          <w:szCs w:val="24"/>
          <w:shd w:val="clear" w:color="auto" w:fill="FFFFFF"/>
        </w:rPr>
      </w:pPr>
      <w:r w:rsidRPr="00F62B0B">
        <w:rPr>
          <w:b/>
          <w:color w:val="0D0D0D" w:themeColor="text1" w:themeTint="F2"/>
          <w:sz w:val="24"/>
          <w:szCs w:val="24"/>
          <w:shd w:val="clear" w:color="auto" w:fill="FFFFFF"/>
        </w:rPr>
        <w:t>2 OBJETIVOS</w:t>
      </w:r>
    </w:p>
    <w:p w14:paraId="33EA62D7" w14:textId="5E4BDD29" w:rsidR="00434E39" w:rsidRPr="00F62B0B" w:rsidRDefault="001921E0" w:rsidP="00F62B0B">
      <w:pPr>
        <w:spacing w:after="240" w:line="360" w:lineRule="auto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F62B0B">
        <w:rPr>
          <w:b/>
          <w:color w:val="0D0D0D" w:themeColor="text1" w:themeTint="F2"/>
          <w:sz w:val="24"/>
          <w:szCs w:val="24"/>
          <w:shd w:val="clear" w:color="auto" w:fill="FFFFFF"/>
        </w:rPr>
        <w:tab/>
      </w:r>
      <w:r w:rsidR="00495F4B" w:rsidRPr="00F62B0B">
        <w:rPr>
          <w:color w:val="0D0D0D" w:themeColor="text1" w:themeTint="F2"/>
          <w:sz w:val="24"/>
          <w:szCs w:val="24"/>
          <w:shd w:val="clear" w:color="auto" w:fill="FFFFFF"/>
        </w:rPr>
        <w:t>Analisar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os desafios e potencialidades da assistência nos serviços de saúde a pacientes com de</w:t>
      </w:r>
      <w:r w:rsidR="00063D02" w:rsidRPr="00F62B0B">
        <w:rPr>
          <w:color w:val="0D0D0D" w:themeColor="text1" w:themeTint="F2"/>
          <w:sz w:val="24"/>
          <w:szCs w:val="24"/>
          <w:shd w:val="clear" w:color="auto" w:fill="FFFFFF"/>
        </w:rPr>
        <w:t>ficiências sensoriais.</w:t>
      </w:r>
    </w:p>
    <w:p w14:paraId="225C02A5" w14:textId="1242B01D" w:rsidR="000F45F0" w:rsidRPr="004101CB" w:rsidRDefault="004B0817" w:rsidP="00F62B0B">
      <w:pPr>
        <w:spacing w:after="24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101CB" w:rsidRPr="004101CB">
        <w:rPr>
          <w:b/>
          <w:bCs/>
          <w:sz w:val="24"/>
          <w:szCs w:val="24"/>
        </w:rPr>
        <w:t xml:space="preserve"> </w:t>
      </w:r>
      <w:r w:rsidR="0034223A" w:rsidRPr="004101CB">
        <w:rPr>
          <w:b/>
          <w:bCs/>
          <w:sz w:val="24"/>
          <w:szCs w:val="24"/>
        </w:rPr>
        <w:t>MÉTODO</w:t>
      </w:r>
    </w:p>
    <w:p w14:paraId="255615E4" w14:textId="72929FAC" w:rsidR="001B0B1A" w:rsidRDefault="007509C0" w:rsidP="00F62B0B">
      <w:pPr>
        <w:spacing w:line="360" w:lineRule="auto"/>
        <w:ind w:left="12" w:right="13" w:firstLine="696"/>
        <w:jc w:val="both"/>
        <w:rPr>
          <w:sz w:val="24"/>
          <w:szCs w:val="24"/>
        </w:rPr>
      </w:pPr>
      <w:r w:rsidRPr="00F41009">
        <w:rPr>
          <w:sz w:val="24"/>
          <w:szCs w:val="24"/>
        </w:rPr>
        <w:t xml:space="preserve">Trata-se de uma revisão </w:t>
      </w:r>
      <w:r>
        <w:rPr>
          <w:sz w:val="24"/>
          <w:szCs w:val="24"/>
        </w:rPr>
        <w:t>integrativa de literatura, do tipo descritiva e exploratória</w:t>
      </w:r>
      <w:r w:rsidRPr="00F41009">
        <w:rPr>
          <w:sz w:val="24"/>
          <w:szCs w:val="24"/>
        </w:rPr>
        <w:t xml:space="preserve"> com abordagem qualitativa. Para tal, realizou-se uma busca, onde foram selecionados os artigos indexados nas bases de dados LILACS (Literatura Latino-Americana e do Caribe em Ciências da Saúde), BDENF (Base de Dados de Enfermagem)</w:t>
      </w:r>
      <w:r>
        <w:rPr>
          <w:sz w:val="24"/>
          <w:szCs w:val="24"/>
        </w:rPr>
        <w:t xml:space="preserve">, </w:t>
      </w:r>
      <w:r w:rsidRPr="00F41009">
        <w:rPr>
          <w:sz w:val="24"/>
          <w:szCs w:val="24"/>
        </w:rPr>
        <w:t>MEDLINE (</w:t>
      </w:r>
      <w:r w:rsidRPr="00F41009">
        <w:rPr>
          <w:i/>
          <w:sz w:val="24"/>
          <w:szCs w:val="24"/>
        </w:rPr>
        <w:t>Medical Literature Analysis and Retrieval System Online</w:t>
      </w:r>
      <w:r w:rsidRPr="00F41009">
        <w:rPr>
          <w:sz w:val="24"/>
          <w:szCs w:val="24"/>
        </w:rPr>
        <w:t>) e SciELO (</w:t>
      </w:r>
      <w:r w:rsidRPr="00F41009">
        <w:rPr>
          <w:i/>
          <w:sz w:val="24"/>
          <w:szCs w:val="24"/>
        </w:rPr>
        <w:t>Scientific Eletronic Library Online</w:t>
      </w:r>
      <w:r w:rsidRPr="00F41009">
        <w:rPr>
          <w:sz w:val="24"/>
          <w:szCs w:val="24"/>
        </w:rPr>
        <w:t>),</w:t>
      </w:r>
      <w:r>
        <w:rPr>
          <w:sz w:val="24"/>
          <w:szCs w:val="24"/>
        </w:rPr>
        <w:t xml:space="preserve"> por meio da</w:t>
      </w:r>
      <w:r w:rsidRPr="00F41009">
        <w:rPr>
          <w:sz w:val="24"/>
          <w:szCs w:val="24"/>
        </w:rPr>
        <w:t xml:space="preserve"> Biblioteca Virtual em Saúde (BV</w:t>
      </w:r>
      <w:r>
        <w:rPr>
          <w:sz w:val="24"/>
          <w:szCs w:val="24"/>
        </w:rPr>
        <w:t>S), por disponibilizar um amplo</w:t>
      </w:r>
      <w:r w:rsidRPr="00F41009">
        <w:rPr>
          <w:sz w:val="24"/>
          <w:szCs w:val="24"/>
        </w:rPr>
        <w:t xml:space="preserve"> conteúdo de material científico, a</w:t>
      </w:r>
      <w:r>
        <w:rPr>
          <w:sz w:val="24"/>
          <w:szCs w:val="24"/>
        </w:rPr>
        <w:t>dvindo das bases de dados refere</w:t>
      </w:r>
      <w:r w:rsidRPr="00F41009">
        <w:rPr>
          <w:sz w:val="24"/>
          <w:szCs w:val="24"/>
        </w:rPr>
        <w:t xml:space="preserve">nciais nos campos da saúde. Os descritores utilizados foram: </w:t>
      </w:r>
      <w:r>
        <w:rPr>
          <w:sz w:val="24"/>
          <w:szCs w:val="24"/>
        </w:rPr>
        <w:t>“</w:t>
      </w:r>
      <w:r w:rsidR="00063D02">
        <w:rPr>
          <w:sz w:val="24"/>
          <w:szCs w:val="24"/>
        </w:rPr>
        <w:t>Assistência à saúde</w:t>
      </w:r>
      <w:r w:rsidRPr="00F41009">
        <w:rPr>
          <w:sz w:val="24"/>
          <w:szCs w:val="24"/>
        </w:rPr>
        <w:t xml:space="preserve">”, </w:t>
      </w:r>
      <w:r>
        <w:rPr>
          <w:sz w:val="24"/>
          <w:szCs w:val="24"/>
        </w:rPr>
        <w:t>“</w:t>
      </w:r>
      <w:r w:rsidR="00063D02">
        <w:rPr>
          <w:sz w:val="24"/>
          <w:szCs w:val="24"/>
        </w:rPr>
        <w:t>Deficientes</w:t>
      </w:r>
      <w:r w:rsidRPr="00F41009">
        <w:rPr>
          <w:sz w:val="24"/>
          <w:szCs w:val="24"/>
        </w:rPr>
        <w:t>”</w:t>
      </w:r>
      <w:r>
        <w:rPr>
          <w:sz w:val="24"/>
          <w:szCs w:val="24"/>
        </w:rPr>
        <w:t xml:space="preserve"> e “</w:t>
      </w:r>
      <w:r w:rsidR="000441A9">
        <w:rPr>
          <w:sz w:val="24"/>
          <w:szCs w:val="24"/>
        </w:rPr>
        <w:t>Acesso aos s</w:t>
      </w:r>
      <w:r w:rsidR="00063D02">
        <w:rPr>
          <w:sz w:val="24"/>
          <w:szCs w:val="24"/>
        </w:rPr>
        <w:t>erviços de saúde</w:t>
      </w:r>
      <w:r>
        <w:rPr>
          <w:sz w:val="24"/>
          <w:szCs w:val="24"/>
        </w:rPr>
        <w:t>”,</w:t>
      </w:r>
      <w:r w:rsidRPr="00F41009">
        <w:rPr>
          <w:sz w:val="24"/>
          <w:szCs w:val="24"/>
        </w:rPr>
        <w:t xml:space="preserve"> usados de maneira combina</w:t>
      </w:r>
      <w:r>
        <w:rPr>
          <w:sz w:val="24"/>
          <w:szCs w:val="24"/>
        </w:rPr>
        <w:t xml:space="preserve">da com o operador booleano </w:t>
      </w:r>
      <w:r w:rsidRPr="006B1E62">
        <w:rPr>
          <w:i/>
          <w:sz w:val="24"/>
          <w:szCs w:val="24"/>
        </w:rPr>
        <w:t>AND</w:t>
      </w:r>
      <w:r w:rsidR="0005315B">
        <w:rPr>
          <w:sz w:val="24"/>
          <w:szCs w:val="24"/>
        </w:rPr>
        <w:t>.</w:t>
      </w:r>
    </w:p>
    <w:p w14:paraId="21ABBF05" w14:textId="1DE28EFC" w:rsidR="007509C0" w:rsidRDefault="00063D02" w:rsidP="00F62B0B">
      <w:pPr>
        <w:spacing w:line="360" w:lineRule="auto"/>
        <w:ind w:left="12" w:right="13" w:firstLine="696"/>
        <w:jc w:val="both"/>
        <w:rPr>
          <w:sz w:val="24"/>
          <w:szCs w:val="24"/>
        </w:rPr>
      </w:pPr>
      <w:r>
        <w:rPr>
          <w:sz w:val="24"/>
          <w:szCs w:val="24"/>
        </w:rPr>
        <w:t>Com o intento de</w:t>
      </w:r>
      <w:r w:rsidR="007509C0" w:rsidRPr="00F41009">
        <w:rPr>
          <w:sz w:val="24"/>
          <w:szCs w:val="24"/>
        </w:rPr>
        <w:t xml:space="preserve"> facilitar a análise dos sites, estabeleceu-se como critérios de inclusão: textos completos, artigos publicados nos últimos cinco anos, idioma</w:t>
      </w:r>
      <w:r w:rsidR="007509C0">
        <w:rPr>
          <w:sz w:val="24"/>
          <w:szCs w:val="24"/>
        </w:rPr>
        <w:t>s</w:t>
      </w:r>
      <w:r w:rsidR="007509C0" w:rsidRPr="00F41009">
        <w:rPr>
          <w:sz w:val="24"/>
          <w:szCs w:val="24"/>
        </w:rPr>
        <w:t xml:space="preserve"> português</w:t>
      </w:r>
      <w:r w:rsidR="007509C0">
        <w:rPr>
          <w:sz w:val="24"/>
          <w:szCs w:val="24"/>
        </w:rPr>
        <w:t>, inglês e espanhol</w:t>
      </w:r>
      <w:r w:rsidR="007509C0" w:rsidRPr="00F41009">
        <w:rPr>
          <w:sz w:val="24"/>
          <w:szCs w:val="24"/>
        </w:rPr>
        <w:t xml:space="preserve"> e que </w:t>
      </w:r>
      <w:r w:rsidR="007509C0">
        <w:rPr>
          <w:sz w:val="24"/>
          <w:szCs w:val="24"/>
        </w:rPr>
        <w:t>cor</w:t>
      </w:r>
      <w:r w:rsidR="007509C0" w:rsidRPr="00F41009">
        <w:rPr>
          <w:sz w:val="24"/>
          <w:szCs w:val="24"/>
        </w:rPr>
        <w:t>respondesse</w:t>
      </w:r>
      <w:r w:rsidR="007509C0">
        <w:rPr>
          <w:sz w:val="24"/>
          <w:szCs w:val="24"/>
        </w:rPr>
        <w:t>m</w:t>
      </w:r>
      <w:r w:rsidR="007509C0" w:rsidRPr="00F41009">
        <w:rPr>
          <w:sz w:val="24"/>
          <w:szCs w:val="24"/>
        </w:rPr>
        <w:t xml:space="preserve"> ao objetivo da investigação. Como critérios de exclusão foram adotad</w:t>
      </w:r>
      <w:r w:rsidR="00D314F2">
        <w:rPr>
          <w:sz w:val="24"/>
          <w:szCs w:val="24"/>
        </w:rPr>
        <w:t>os: artigos duplicados, resumos e</w:t>
      </w:r>
      <w:r w:rsidR="007509C0" w:rsidRPr="00F41009">
        <w:rPr>
          <w:sz w:val="24"/>
          <w:szCs w:val="24"/>
        </w:rPr>
        <w:t xml:space="preserve"> </w:t>
      </w:r>
      <w:r w:rsidR="007509C0">
        <w:rPr>
          <w:sz w:val="24"/>
          <w:szCs w:val="24"/>
        </w:rPr>
        <w:t>anais. Est</w:t>
      </w:r>
      <w:r w:rsidR="007509C0" w:rsidRPr="00F41009">
        <w:rPr>
          <w:sz w:val="24"/>
          <w:szCs w:val="24"/>
        </w:rPr>
        <w:t xml:space="preserve">a metodologia é </w:t>
      </w:r>
      <w:r w:rsidR="007509C0">
        <w:rPr>
          <w:sz w:val="24"/>
          <w:szCs w:val="24"/>
        </w:rPr>
        <w:t>proposta a estudos de revisão, uma vez que incrementa e aprimora as conclusões com</w:t>
      </w:r>
      <w:r w:rsidR="007509C0" w:rsidRPr="00F41009">
        <w:rPr>
          <w:sz w:val="24"/>
          <w:szCs w:val="24"/>
        </w:rPr>
        <w:t xml:space="preserve"> relação ao tema pesquisado. </w:t>
      </w:r>
      <w:r>
        <w:rPr>
          <w:sz w:val="24"/>
          <w:szCs w:val="24"/>
        </w:rPr>
        <w:t>Foram encontrados 34</w:t>
      </w:r>
      <w:r w:rsidR="007509C0" w:rsidRPr="00F41009">
        <w:rPr>
          <w:sz w:val="24"/>
          <w:szCs w:val="24"/>
        </w:rPr>
        <w:t xml:space="preserve"> artigos</w:t>
      </w:r>
      <w:r w:rsidR="007509C0">
        <w:rPr>
          <w:sz w:val="24"/>
          <w:szCs w:val="24"/>
        </w:rPr>
        <w:t xml:space="preserve"> e após a inserção dos critérios de inclusão</w:t>
      </w:r>
      <w:r w:rsidR="00D0592F">
        <w:rPr>
          <w:sz w:val="24"/>
          <w:szCs w:val="24"/>
        </w:rPr>
        <w:t xml:space="preserve"> e exclusão</w:t>
      </w:r>
      <w:r w:rsidR="007509C0">
        <w:rPr>
          <w:sz w:val="24"/>
          <w:szCs w:val="24"/>
        </w:rPr>
        <w:t>, re</w:t>
      </w:r>
      <w:r>
        <w:rPr>
          <w:sz w:val="24"/>
          <w:szCs w:val="24"/>
        </w:rPr>
        <w:t>duziu-se para 17</w:t>
      </w:r>
      <w:r w:rsidR="007509C0">
        <w:rPr>
          <w:sz w:val="24"/>
          <w:szCs w:val="24"/>
        </w:rPr>
        <w:t xml:space="preserve"> artigos. Destes</w:t>
      </w:r>
      <w:r>
        <w:rPr>
          <w:sz w:val="24"/>
          <w:szCs w:val="24"/>
        </w:rPr>
        <w:t>, somente 8</w:t>
      </w:r>
      <w:r w:rsidR="007509C0" w:rsidRPr="00F41009">
        <w:rPr>
          <w:sz w:val="24"/>
          <w:szCs w:val="24"/>
        </w:rPr>
        <w:t xml:space="preserve"> correspo</w:t>
      </w:r>
      <w:r w:rsidR="007509C0">
        <w:rPr>
          <w:sz w:val="24"/>
          <w:szCs w:val="24"/>
        </w:rPr>
        <w:t>n</w:t>
      </w:r>
      <w:r w:rsidR="007509C0" w:rsidRPr="00F41009">
        <w:rPr>
          <w:sz w:val="24"/>
          <w:szCs w:val="24"/>
        </w:rPr>
        <w:t xml:space="preserve">deram ao </w:t>
      </w:r>
      <w:r w:rsidR="007509C0">
        <w:rPr>
          <w:sz w:val="24"/>
          <w:szCs w:val="24"/>
        </w:rPr>
        <w:t>objetivo proposto e</w:t>
      </w:r>
      <w:r w:rsidR="007509C0" w:rsidRPr="00F41009">
        <w:rPr>
          <w:sz w:val="24"/>
          <w:szCs w:val="24"/>
        </w:rPr>
        <w:t xml:space="preserve"> foram analisados. Os resultados serão apresentados, com as características e as implicações principais de cada estudo.</w:t>
      </w:r>
    </w:p>
    <w:p w14:paraId="6EE83686" w14:textId="78774E1C" w:rsidR="000F45F0" w:rsidRPr="004101CB" w:rsidRDefault="009868F5" w:rsidP="009868F5">
      <w:pPr>
        <w:pStyle w:val="Corpodetexto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ab/>
      </w:r>
    </w:p>
    <w:p w14:paraId="0BE922B0" w14:textId="3184CBF5" w:rsidR="00696B70" w:rsidRDefault="004B0817" w:rsidP="00F62B0B">
      <w:pPr>
        <w:spacing w:after="24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4101CB" w:rsidRPr="004101CB">
        <w:rPr>
          <w:b/>
          <w:bCs/>
          <w:sz w:val="24"/>
          <w:szCs w:val="24"/>
        </w:rPr>
        <w:t xml:space="preserve"> </w:t>
      </w:r>
      <w:r w:rsidR="0034223A" w:rsidRPr="004101CB">
        <w:rPr>
          <w:b/>
          <w:bCs/>
          <w:sz w:val="24"/>
          <w:szCs w:val="24"/>
        </w:rPr>
        <w:t>RESULTADOS</w:t>
      </w:r>
      <w:r w:rsidR="0034223A" w:rsidRPr="004101CB">
        <w:rPr>
          <w:b/>
          <w:bCs/>
          <w:spacing w:val="-6"/>
          <w:sz w:val="24"/>
          <w:szCs w:val="24"/>
        </w:rPr>
        <w:t xml:space="preserve"> </w:t>
      </w:r>
      <w:r w:rsidR="0034223A" w:rsidRPr="004101CB">
        <w:rPr>
          <w:b/>
          <w:bCs/>
          <w:sz w:val="24"/>
          <w:szCs w:val="24"/>
        </w:rPr>
        <w:t>E</w:t>
      </w:r>
      <w:r w:rsidR="0034223A" w:rsidRPr="004101CB">
        <w:rPr>
          <w:b/>
          <w:bCs/>
          <w:spacing w:val="-3"/>
          <w:sz w:val="24"/>
          <w:szCs w:val="24"/>
        </w:rPr>
        <w:t xml:space="preserve"> </w:t>
      </w:r>
      <w:r w:rsidR="0034223A" w:rsidRPr="004101CB">
        <w:rPr>
          <w:b/>
          <w:bCs/>
          <w:sz w:val="24"/>
          <w:szCs w:val="24"/>
        </w:rPr>
        <w:t>DISCUSSÃO</w:t>
      </w:r>
    </w:p>
    <w:p w14:paraId="219E987D" w14:textId="4BF7231D" w:rsidR="00696B70" w:rsidRPr="00F62B0B" w:rsidRDefault="001E10BB" w:rsidP="00F62B0B">
      <w:pPr>
        <w:shd w:val="clear" w:color="auto" w:fill="FFFFFF"/>
        <w:spacing w:line="360" w:lineRule="auto"/>
        <w:ind w:firstLine="708"/>
        <w:jc w:val="both"/>
        <w:rPr>
          <w:color w:val="0D0D0D" w:themeColor="text1" w:themeTint="F2"/>
          <w:sz w:val="24"/>
          <w:szCs w:val="24"/>
        </w:rPr>
      </w:pPr>
      <w:r w:rsidRPr="00F62B0B">
        <w:rPr>
          <w:b/>
          <w:bCs/>
          <w:color w:val="0D0D0D" w:themeColor="text1" w:themeTint="F2"/>
          <w:sz w:val="24"/>
          <w:szCs w:val="24"/>
        </w:rPr>
        <w:tab/>
      </w:r>
      <w:r w:rsidRPr="00F62B0B">
        <w:rPr>
          <w:bCs/>
          <w:color w:val="0D0D0D" w:themeColor="text1" w:themeTint="F2"/>
          <w:sz w:val="24"/>
          <w:szCs w:val="24"/>
        </w:rPr>
        <w:t xml:space="preserve">Com base nos </w:t>
      </w:r>
      <w:r w:rsidR="007B2D89" w:rsidRPr="00F62B0B">
        <w:rPr>
          <w:bCs/>
          <w:color w:val="0D0D0D" w:themeColor="text1" w:themeTint="F2"/>
          <w:sz w:val="24"/>
          <w:szCs w:val="24"/>
        </w:rPr>
        <w:t>artigos</w:t>
      </w:r>
      <w:r w:rsidRPr="00F62B0B">
        <w:rPr>
          <w:bCs/>
          <w:color w:val="0D0D0D" w:themeColor="text1" w:themeTint="F2"/>
          <w:sz w:val="24"/>
          <w:szCs w:val="24"/>
        </w:rPr>
        <w:t xml:space="preserve"> </w:t>
      </w:r>
      <w:r w:rsidR="007B2D89" w:rsidRPr="00F62B0B">
        <w:rPr>
          <w:bCs/>
          <w:color w:val="0D0D0D" w:themeColor="text1" w:themeTint="F2"/>
          <w:sz w:val="24"/>
          <w:szCs w:val="24"/>
        </w:rPr>
        <w:t>avaliados</w:t>
      </w:r>
      <w:r w:rsidRPr="00F62B0B">
        <w:rPr>
          <w:bCs/>
          <w:color w:val="0D0D0D" w:themeColor="text1" w:themeTint="F2"/>
          <w:sz w:val="24"/>
          <w:szCs w:val="24"/>
        </w:rPr>
        <w:t>, pôde-se analisar que</w:t>
      </w:r>
      <w:r w:rsidR="00696B70" w:rsidRPr="00F62B0B">
        <w:rPr>
          <w:color w:val="0D0D0D" w:themeColor="text1" w:themeTint="F2"/>
          <w:sz w:val="24"/>
          <w:szCs w:val="24"/>
        </w:rPr>
        <w:t xml:space="preserve">, ainda que os indivíduos </w:t>
      </w:r>
      <w:r w:rsidR="000B47B4" w:rsidRPr="00F62B0B">
        <w:rPr>
          <w:color w:val="0D0D0D" w:themeColor="text1" w:themeTint="F2"/>
          <w:sz w:val="24"/>
          <w:szCs w:val="24"/>
        </w:rPr>
        <w:t>tenham</w:t>
      </w:r>
      <w:r w:rsidR="00696B70" w:rsidRPr="00F62B0B">
        <w:rPr>
          <w:color w:val="0D0D0D" w:themeColor="text1" w:themeTint="F2"/>
          <w:sz w:val="24"/>
          <w:szCs w:val="24"/>
        </w:rPr>
        <w:t xml:space="preserve"> o mesmo tipo de deficiência, independentemente da natureza, ocorrem divergências entre si, pois estes possuem as suas</w:t>
      </w:r>
      <w:r w:rsidR="00F876A6" w:rsidRPr="00F62B0B">
        <w:rPr>
          <w:color w:val="0D0D0D" w:themeColor="text1" w:themeTint="F2"/>
          <w:sz w:val="24"/>
          <w:szCs w:val="24"/>
        </w:rPr>
        <w:t xml:space="preserve"> particularidades, seja por</w:t>
      </w:r>
      <w:r w:rsidR="00696B70" w:rsidRPr="00F62B0B">
        <w:rPr>
          <w:color w:val="0D0D0D" w:themeColor="text1" w:themeTint="F2"/>
          <w:sz w:val="24"/>
          <w:szCs w:val="24"/>
        </w:rPr>
        <w:t xml:space="preserve"> restrições ou por aptidões individuais. É importante salientar que nem todos os pacientes com surdez conse</w:t>
      </w:r>
      <w:r w:rsidR="000B47B4" w:rsidRPr="00F62B0B">
        <w:rPr>
          <w:color w:val="0D0D0D" w:themeColor="text1" w:themeTint="F2"/>
          <w:sz w:val="24"/>
          <w:szCs w:val="24"/>
        </w:rPr>
        <w:t xml:space="preserve">guirão comunicar-se por meio de libras </w:t>
      </w:r>
      <w:r w:rsidR="00696B70" w:rsidRPr="00F62B0B">
        <w:rPr>
          <w:color w:val="0D0D0D" w:themeColor="text1" w:themeTint="F2"/>
          <w:sz w:val="24"/>
          <w:szCs w:val="24"/>
        </w:rPr>
        <w:t xml:space="preserve">ou ainda pela leitura labial, assim como não significa dizer que todos os indivíduos com deficiência visual se utilizarão do braille (TORRES </w:t>
      </w:r>
      <w:r w:rsidR="00696B70" w:rsidRPr="00F62B0B">
        <w:rPr>
          <w:i/>
          <w:color w:val="0D0D0D" w:themeColor="text1" w:themeTint="F2"/>
          <w:sz w:val="24"/>
          <w:szCs w:val="24"/>
        </w:rPr>
        <w:t>et al</w:t>
      </w:r>
      <w:r w:rsidR="00696B70" w:rsidRPr="00F62B0B">
        <w:rPr>
          <w:color w:val="0D0D0D" w:themeColor="text1" w:themeTint="F2"/>
          <w:sz w:val="24"/>
          <w:szCs w:val="24"/>
        </w:rPr>
        <w:t xml:space="preserve">., 2007).  </w:t>
      </w:r>
    </w:p>
    <w:p w14:paraId="32DCC61E" w14:textId="77777777" w:rsidR="00543F8B" w:rsidRPr="00F62B0B" w:rsidRDefault="00543F8B" w:rsidP="00F62B0B">
      <w:pPr>
        <w:spacing w:line="360" w:lineRule="auto"/>
        <w:ind w:firstLine="708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Nesse contexto, nota-se que pacientes que apresentam deficiência auditiva referem 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como ponto principal de barreira ao acesso aos serviços de saúde, a ausência de comunicação efetiva no elo profissional-paciente, podendo-se mencionar como maiores reclamações: o diálogo superficial no momento da anamnese e execução do exame físico; dificuldades para compreensão do tratamento prescrito; ausência de informações e falta de qualificação quanto à linguagem de sinais, dificuldades para a marcação de consultas, dentre outras (ALEXANDER </w:t>
      </w:r>
      <w:r w:rsidRPr="00F62B0B">
        <w:rPr>
          <w:i/>
          <w:color w:val="0D0D0D" w:themeColor="text1" w:themeTint="F2"/>
          <w:sz w:val="24"/>
          <w:szCs w:val="24"/>
          <w:shd w:val="clear" w:color="auto" w:fill="FFFFFF"/>
        </w:rPr>
        <w:t>et al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., 2012).</w:t>
      </w:r>
    </w:p>
    <w:p w14:paraId="66388A44" w14:textId="504C1289" w:rsidR="00543F8B" w:rsidRPr="00F62B0B" w:rsidRDefault="00543F8B" w:rsidP="00F62B0B">
      <w:pPr>
        <w:spacing w:line="360" w:lineRule="auto"/>
        <w:ind w:firstLine="708"/>
        <w:jc w:val="both"/>
        <w:rPr>
          <w:color w:val="0D0D0D" w:themeColor="text1" w:themeTint="F2"/>
          <w:sz w:val="24"/>
          <w:szCs w:val="24"/>
        </w:rPr>
      </w:pPr>
      <w:r w:rsidRPr="00F62B0B">
        <w:rPr>
          <w:color w:val="0D0D0D" w:themeColor="text1" w:themeTint="F2"/>
          <w:sz w:val="24"/>
          <w:szCs w:val="24"/>
        </w:rPr>
        <w:t xml:space="preserve">Já os indivíduos portadores de deficiências visuais, também padecem com os entraves do acesso aos serviços assistenciais. Assim como supracitado, estes pacientes reiteram em suas queixas: a dificuldade na comunicação eficaz, acesso às estruturas físicas dos ambientes de consulta, informações defasadas, materiais inacessíveis a este público, além da ausência de empatia e limitações na realização do autocuidado, uma vez que possuem acuidade visual ausente ou diminuída. No que se refere à população idosa, pôde-se depreender que, idosos com deficiência visual possuem maior índice de comorbidades como: Hipertensão Arterial Sistêmica (HAS), Diabetes Melitus (DM) e Acidente Vascular Cerebral (AVC), além de restrições nas atividades da vida diária (BACHMAN </w:t>
      </w:r>
      <w:r w:rsidRPr="00F62B0B">
        <w:rPr>
          <w:i/>
          <w:color w:val="0D0D0D" w:themeColor="text1" w:themeTint="F2"/>
          <w:sz w:val="24"/>
          <w:szCs w:val="24"/>
        </w:rPr>
        <w:t>et al.,</w:t>
      </w:r>
      <w:r w:rsidRPr="00F62B0B">
        <w:rPr>
          <w:color w:val="0D0D0D" w:themeColor="text1" w:themeTint="F2"/>
          <w:sz w:val="24"/>
          <w:szCs w:val="24"/>
        </w:rPr>
        <w:t xml:space="preserve"> 2006).</w:t>
      </w:r>
      <w:r w:rsidR="00094215" w:rsidRPr="00F62B0B">
        <w:rPr>
          <w:color w:val="0D0D0D" w:themeColor="text1" w:themeTint="F2"/>
          <w:sz w:val="24"/>
          <w:szCs w:val="24"/>
        </w:rPr>
        <w:t xml:space="preserve"> </w:t>
      </w:r>
    </w:p>
    <w:p w14:paraId="1C46F6C1" w14:textId="77777777" w:rsidR="00662F23" w:rsidRPr="00F62B0B" w:rsidRDefault="00251059" w:rsidP="00F62B0B">
      <w:pPr>
        <w:shd w:val="clear" w:color="auto" w:fill="FFFFFF"/>
        <w:spacing w:line="360" w:lineRule="auto"/>
        <w:ind w:firstLine="708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F62B0B">
        <w:rPr>
          <w:color w:val="0D0D0D" w:themeColor="text1" w:themeTint="F2"/>
          <w:sz w:val="24"/>
          <w:szCs w:val="24"/>
        </w:rPr>
        <w:t>Exemplos de facilitadores da mensagem para este determinado público, como linguagem de sinais, braille e até mesmo figuras em alto relevo implicam em investimentos e organização, uma vez que precisam ser implementados com o intento de atingir o maior número possível de pessoas. Contudo, não é viável assim o fazer, já que os indivíduos que adquirem essas perdas ao longo da vida possuem menores possibilidades de conseguirem se adequar a tais métodos de comunicação (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CAWTHRA, 1999). </w:t>
      </w:r>
    </w:p>
    <w:p w14:paraId="330E52E3" w14:textId="478EACE0" w:rsidR="00E671E5" w:rsidRPr="00F62B0B" w:rsidRDefault="00662F23" w:rsidP="00F62B0B">
      <w:pPr>
        <w:shd w:val="clear" w:color="auto" w:fill="FFFFFF"/>
        <w:spacing w:line="360" w:lineRule="auto"/>
        <w:ind w:firstLine="708"/>
        <w:jc w:val="both"/>
        <w:rPr>
          <w:color w:val="0D0D0D" w:themeColor="text1" w:themeTint="F2"/>
          <w:sz w:val="24"/>
          <w:szCs w:val="24"/>
          <w:shd w:val="clear" w:color="auto" w:fill="FFFFFF"/>
        </w:rPr>
      </w:pP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Outro ponto </w:t>
      </w:r>
      <w:r w:rsidR="00436222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crucial 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a ser discutido é que, mesmo diante da comprovação da melhoria na comunicação entre paciente e equipe de saúde mediante instrumentos como audiocomunicação para pacientes portadores de deficiências visuais, ou linguagem de sinais para deficientes auditivos, na maioria dos casos não é perceptível a oferta deste serviço no momento da consulta. Em estudos realizados em algumas regiões do país, uma pequena minoria referiu ter recebido tais informações com o uso dos métodos acima mencionados (LEAL </w:t>
      </w:r>
      <w:r w:rsidRPr="00F62B0B">
        <w:rPr>
          <w:i/>
          <w:color w:val="0D0D0D" w:themeColor="text1" w:themeTint="F2"/>
          <w:sz w:val="24"/>
          <w:szCs w:val="24"/>
          <w:shd w:val="clear" w:color="auto" w:fill="FFFFFF"/>
        </w:rPr>
        <w:t>et al.,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2015).</w:t>
      </w:r>
    </w:p>
    <w:p w14:paraId="5DD3A309" w14:textId="08E3A22A" w:rsidR="00E671E5" w:rsidRPr="00F62B0B" w:rsidRDefault="00E671E5" w:rsidP="00F62B0B">
      <w:pPr>
        <w:shd w:val="clear" w:color="auto" w:fill="FFFFFF"/>
        <w:spacing w:line="360" w:lineRule="auto"/>
        <w:ind w:firstLine="708"/>
        <w:jc w:val="both"/>
        <w:rPr>
          <w:color w:val="0D0D0D" w:themeColor="text1" w:themeTint="F2"/>
          <w:sz w:val="24"/>
          <w:szCs w:val="24"/>
          <w:lang w:eastAsia="pt-BR"/>
        </w:rPr>
      </w:pPr>
      <w:r w:rsidRPr="00F62B0B">
        <w:rPr>
          <w:color w:val="0D0D0D" w:themeColor="text1" w:themeTint="F2"/>
          <w:sz w:val="24"/>
          <w:szCs w:val="24"/>
          <w:lang w:eastAsia="pt-BR"/>
        </w:rPr>
        <w:t>Uma outra questão primordial a ser levantada, é a realização do acolhimento nos serviços de sa</w:t>
      </w:r>
      <w:r w:rsidR="00B7740C" w:rsidRPr="00F62B0B">
        <w:rPr>
          <w:color w:val="0D0D0D" w:themeColor="text1" w:themeTint="F2"/>
          <w:sz w:val="24"/>
          <w:szCs w:val="24"/>
          <w:lang w:eastAsia="pt-BR"/>
        </w:rPr>
        <w:t>úde à</w:t>
      </w:r>
      <w:r w:rsidRPr="00F62B0B">
        <w:rPr>
          <w:color w:val="0D0D0D" w:themeColor="text1" w:themeTint="F2"/>
          <w:sz w:val="24"/>
          <w:szCs w:val="24"/>
          <w:lang w:eastAsia="pt-BR"/>
        </w:rPr>
        <w:t xml:space="preserve"> pessoas com deficiências, com a presença de profissionais capacitados para tal prática. Uma medida simples e imensamente necessária e significativa, na qual deveria ser implementada em todas as unidades, mas que, lamentavelmente, atinge apenas um percentual mínimo. A presença deste facilitador tornar-se-ia peça fundamental para promover a interação entre pessoas que são acometidas por deficiências sensoriais e o serviço de saúde (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O’DAY </w:t>
      </w:r>
      <w:r w:rsidRPr="00F62B0B">
        <w:rPr>
          <w:i/>
          <w:color w:val="0D0D0D" w:themeColor="text1" w:themeTint="F2"/>
          <w:sz w:val="24"/>
          <w:szCs w:val="24"/>
          <w:shd w:val="clear" w:color="auto" w:fill="FFFFFF"/>
        </w:rPr>
        <w:t xml:space="preserve">et </w:t>
      </w:r>
      <w:r w:rsidRPr="00F62B0B">
        <w:rPr>
          <w:i/>
          <w:color w:val="0D0D0D" w:themeColor="text1" w:themeTint="F2"/>
          <w:sz w:val="24"/>
          <w:szCs w:val="24"/>
          <w:shd w:val="clear" w:color="auto" w:fill="FFFFFF"/>
        </w:rPr>
        <w:lastRenderedPageBreak/>
        <w:t>al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., 2004)</w:t>
      </w:r>
      <w:r w:rsidRPr="00F62B0B">
        <w:rPr>
          <w:color w:val="0D0D0D" w:themeColor="text1" w:themeTint="F2"/>
          <w:sz w:val="24"/>
          <w:szCs w:val="24"/>
          <w:lang w:eastAsia="pt-BR"/>
        </w:rPr>
        <w:t xml:space="preserve">. </w:t>
      </w:r>
    </w:p>
    <w:p w14:paraId="36199C23" w14:textId="77777777" w:rsidR="00F62B0B" w:rsidRDefault="00B65EA0" w:rsidP="00F62B0B">
      <w:pPr>
        <w:shd w:val="clear" w:color="auto" w:fill="FFFFFF"/>
        <w:spacing w:line="360" w:lineRule="auto"/>
        <w:ind w:firstLine="708"/>
        <w:jc w:val="both"/>
        <w:rPr>
          <w:color w:val="0D0D0D" w:themeColor="text1" w:themeTint="F2"/>
          <w:sz w:val="24"/>
          <w:szCs w:val="24"/>
        </w:rPr>
      </w:pPr>
      <w:r w:rsidRPr="00F62B0B">
        <w:rPr>
          <w:color w:val="0D0D0D" w:themeColor="text1" w:themeTint="F2"/>
          <w:sz w:val="24"/>
          <w:szCs w:val="24"/>
        </w:rPr>
        <w:t>Ainda segundo a análise dos estudos desenvolvidos</w:t>
      </w:r>
      <w:r w:rsidR="00F53695" w:rsidRPr="00F62B0B">
        <w:rPr>
          <w:color w:val="0D0D0D" w:themeColor="text1" w:themeTint="F2"/>
          <w:sz w:val="24"/>
          <w:szCs w:val="24"/>
        </w:rPr>
        <w:t xml:space="preserve">, </w:t>
      </w:r>
      <w:r w:rsidR="006D317C" w:rsidRPr="00F62B0B">
        <w:rPr>
          <w:color w:val="0D0D0D" w:themeColor="text1" w:themeTint="F2"/>
          <w:sz w:val="24"/>
          <w:szCs w:val="24"/>
        </w:rPr>
        <w:t xml:space="preserve">com relação às barreiras ao acesso, </w:t>
      </w:r>
      <w:r w:rsidR="00F53695" w:rsidRPr="00F62B0B">
        <w:rPr>
          <w:color w:val="0D0D0D" w:themeColor="text1" w:themeTint="F2"/>
          <w:sz w:val="24"/>
          <w:szCs w:val="24"/>
        </w:rPr>
        <w:t>percebeu-se</w:t>
      </w:r>
      <w:r w:rsidR="006D317C" w:rsidRPr="00F62B0B">
        <w:rPr>
          <w:color w:val="0D0D0D" w:themeColor="text1" w:themeTint="F2"/>
          <w:sz w:val="24"/>
          <w:szCs w:val="24"/>
        </w:rPr>
        <w:t xml:space="preserve"> que,</w:t>
      </w:r>
      <w:r w:rsidRPr="00F62B0B">
        <w:rPr>
          <w:color w:val="0D0D0D" w:themeColor="text1" w:themeTint="F2"/>
          <w:sz w:val="24"/>
          <w:szCs w:val="24"/>
        </w:rPr>
        <w:t xml:space="preserve"> indivíduos que possuem acuidade visual diminuída ou deficiência visual total relataram que intervenções como métodos individuais de comunicação, bem como o comportamento acolhedor advindo dos profissionais são elementos chaves para a qualificação da assistência prestada. Para que isso possa ocorrer, faz-se necessário o investimento na capacitação dos profissionais, a fim de instrui-los e viabilizar a comunicação eficaz entre paciente e equipe. A realização de educação permanente relacionada a esta temática, é vista pela equipe como algo necessário para mitigar os obstáculos existentes na conversação</w:t>
      </w:r>
      <w:r w:rsidR="00D9706C" w:rsidRPr="00F62B0B">
        <w:rPr>
          <w:color w:val="0D0D0D" w:themeColor="text1" w:themeTint="F2"/>
          <w:sz w:val="24"/>
          <w:szCs w:val="24"/>
        </w:rPr>
        <w:t xml:space="preserve"> quanto ao processo saúde-doença</w:t>
      </w:r>
      <w:r w:rsidRPr="00F62B0B">
        <w:rPr>
          <w:color w:val="0D0D0D" w:themeColor="text1" w:themeTint="F2"/>
          <w:sz w:val="24"/>
          <w:szCs w:val="24"/>
        </w:rPr>
        <w:t xml:space="preserve"> (MORRISON </w:t>
      </w:r>
      <w:r w:rsidRPr="00F62B0B">
        <w:rPr>
          <w:i/>
          <w:color w:val="0D0D0D" w:themeColor="text1" w:themeTint="F2"/>
          <w:sz w:val="24"/>
          <w:szCs w:val="24"/>
        </w:rPr>
        <w:t>et al</w:t>
      </w:r>
      <w:r w:rsidRPr="00F62B0B">
        <w:rPr>
          <w:color w:val="0D0D0D" w:themeColor="text1" w:themeTint="F2"/>
          <w:sz w:val="24"/>
          <w:szCs w:val="24"/>
        </w:rPr>
        <w:t xml:space="preserve">., 2008). </w:t>
      </w:r>
    </w:p>
    <w:p w14:paraId="43859B0E" w14:textId="0F87C981" w:rsidR="00F654D6" w:rsidRPr="00F62B0B" w:rsidRDefault="00F654D6" w:rsidP="00F62B0B">
      <w:pPr>
        <w:shd w:val="clear" w:color="auto" w:fill="FFFFFF"/>
        <w:spacing w:line="360" w:lineRule="auto"/>
        <w:ind w:firstLine="708"/>
        <w:jc w:val="both"/>
        <w:rPr>
          <w:color w:val="0D0D0D" w:themeColor="text1" w:themeTint="F2"/>
          <w:sz w:val="24"/>
          <w:szCs w:val="24"/>
        </w:rPr>
      </w:pP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No que concerne à formação acadêmica dos profissionais, é perceptível a deficiência no preparo ao lidar com esta população, uma vez que grande parte das instituições de ensino superior iniciaram a inserção da disciplina de Libras na grade curricular há pouco. Logo, muitos não dispõem do conhecimento </w:t>
      </w:r>
      <w:r w:rsidR="00A53AC8" w:rsidRPr="00F62B0B">
        <w:rPr>
          <w:color w:val="0D0D0D" w:themeColor="text1" w:themeTint="F2"/>
          <w:sz w:val="24"/>
          <w:szCs w:val="24"/>
          <w:shd w:val="clear" w:color="auto" w:fill="FFFFFF"/>
        </w:rPr>
        <w:t>adequado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para atender as demandas de pessoas com deficiências sensoriais. Como </w:t>
      </w:r>
      <w:r w:rsidR="00094215" w:rsidRPr="00F62B0B">
        <w:rPr>
          <w:color w:val="0D0D0D" w:themeColor="text1" w:themeTint="F2"/>
          <w:sz w:val="24"/>
          <w:szCs w:val="24"/>
          <w:shd w:val="clear" w:color="auto" w:fill="FFFFFF"/>
        </w:rPr>
        <w:t>mencionado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, nem todos os indivíduos conseguem comunicar-se e interagir por meio da linguagem de sinais. </w:t>
      </w:r>
      <w:r w:rsidR="00540F9E" w:rsidRPr="00F62B0B">
        <w:rPr>
          <w:color w:val="0D0D0D" w:themeColor="text1" w:themeTint="F2"/>
          <w:sz w:val="24"/>
          <w:szCs w:val="24"/>
          <w:shd w:val="clear" w:color="auto" w:fill="FFFFFF"/>
        </w:rPr>
        <w:t>Todavia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>, o discente</w:t>
      </w:r>
      <w:r w:rsidR="00A53AC8" w:rsidRPr="00F62B0B">
        <w:rPr>
          <w:color w:val="0D0D0D" w:themeColor="text1" w:themeTint="F2"/>
          <w:sz w:val="24"/>
          <w:szCs w:val="24"/>
          <w:shd w:val="clear" w:color="auto" w:fill="FFFFFF"/>
        </w:rPr>
        <w:t>,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ao buscar capacitar-se intentando </w:t>
      </w:r>
      <w:r w:rsidR="00A53AC8" w:rsidRPr="00F62B0B">
        <w:rPr>
          <w:color w:val="0D0D0D" w:themeColor="text1" w:themeTint="F2"/>
          <w:sz w:val="24"/>
          <w:szCs w:val="24"/>
          <w:shd w:val="clear" w:color="auto" w:fill="FFFFFF"/>
        </w:rPr>
        <w:t>proporcionar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a inclusão destes, diminuindo o sentimento de frustração</w:t>
      </w:r>
      <w:r w:rsidR="00A53AC8"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e promovendo saúde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, torna-se um diferencial no serviço enquanto profissional, visto que produz um novo significado neste ambiente (MARQUES </w:t>
      </w:r>
      <w:r w:rsidRPr="00F62B0B">
        <w:rPr>
          <w:i/>
          <w:color w:val="0D0D0D" w:themeColor="text1" w:themeTint="F2"/>
          <w:sz w:val="24"/>
          <w:szCs w:val="24"/>
          <w:shd w:val="clear" w:color="auto" w:fill="FFFFFF"/>
        </w:rPr>
        <w:t>et al.,</w:t>
      </w:r>
      <w:r w:rsidRPr="00F62B0B">
        <w:rPr>
          <w:color w:val="0D0D0D" w:themeColor="text1" w:themeTint="F2"/>
          <w:sz w:val="24"/>
          <w:szCs w:val="24"/>
          <w:shd w:val="clear" w:color="auto" w:fill="FFFFFF"/>
        </w:rPr>
        <w:t xml:space="preserve"> 2017).</w:t>
      </w:r>
    </w:p>
    <w:p w14:paraId="7DBAA254" w14:textId="79F5B205" w:rsidR="003F16B8" w:rsidRPr="004101CB" w:rsidRDefault="004B0817" w:rsidP="00F62B0B">
      <w:pPr>
        <w:spacing w:before="24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4101CB" w:rsidRPr="004101CB">
        <w:rPr>
          <w:b/>
          <w:bCs/>
          <w:sz w:val="24"/>
          <w:szCs w:val="24"/>
        </w:rPr>
        <w:t xml:space="preserve"> </w:t>
      </w:r>
      <w:r w:rsidR="003F16B8" w:rsidRPr="004101CB">
        <w:rPr>
          <w:b/>
          <w:bCs/>
          <w:sz w:val="24"/>
          <w:szCs w:val="24"/>
        </w:rPr>
        <w:t>CONSIDERAÇÕES FINAIS</w:t>
      </w:r>
    </w:p>
    <w:p w14:paraId="439E4404" w14:textId="4F2CFAA0" w:rsidR="00820325" w:rsidRDefault="001B0B1A" w:rsidP="00F62B0B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A03332">
        <w:rPr>
          <w:sz w:val="24"/>
          <w:szCs w:val="24"/>
        </w:rPr>
        <w:t>A realização deste estudo proporcionou a percepção de que</w:t>
      </w:r>
      <w:r>
        <w:rPr>
          <w:sz w:val="24"/>
          <w:szCs w:val="24"/>
        </w:rPr>
        <w:t xml:space="preserve"> muitos são os obstáculos no que diz respeito a</w:t>
      </w:r>
      <w:r w:rsidRPr="00A033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assistência à saúde de pacientes acometidos por </w:t>
      </w:r>
      <w:r w:rsidR="00DC5DD0">
        <w:rPr>
          <w:sz w:val="24"/>
          <w:szCs w:val="24"/>
        </w:rPr>
        <w:t>deficiências</w:t>
      </w:r>
      <w:r>
        <w:rPr>
          <w:sz w:val="24"/>
          <w:szCs w:val="24"/>
        </w:rPr>
        <w:t xml:space="preserve"> sensori</w:t>
      </w:r>
      <w:r w:rsidR="00DC5DD0">
        <w:rPr>
          <w:sz w:val="24"/>
          <w:szCs w:val="24"/>
        </w:rPr>
        <w:t xml:space="preserve">ais, especialmente </w:t>
      </w:r>
      <w:r>
        <w:rPr>
          <w:sz w:val="24"/>
          <w:szCs w:val="24"/>
        </w:rPr>
        <w:t xml:space="preserve">visuais e auditivas. No entanto, existem recursos capazes de minimizar tais barreiras, facilitando o acesso </w:t>
      </w:r>
      <w:r w:rsidR="00DC5DD0">
        <w:rPr>
          <w:sz w:val="24"/>
          <w:szCs w:val="24"/>
        </w:rPr>
        <w:t>destes indivíduos</w:t>
      </w:r>
      <w:r>
        <w:rPr>
          <w:sz w:val="24"/>
          <w:szCs w:val="24"/>
        </w:rPr>
        <w:t xml:space="preserve"> aos serviços de saúde.  Para que se alcance uma assistência inclusiva, que abranja a todos os públicos, faz-se necessário a inserção de </w:t>
      </w:r>
      <w:r w:rsidR="00DC5DD0">
        <w:rPr>
          <w:sz w:val="24"/>
          <w:szCs w:val="24"/>
        </w:rPr>
        <w:t xml:space="preserve">medidas que potencializem a comunicação, como o aperfeiçoamento da liguagem de sinais, audiocomunicação, escrita em braille, dentre outras técnicas, bem como a capacitação da equipe, educação permanente, escuta acolhedora, para que dessa forma torne-se possível a formação de vínculo entre equipe e paciente e busca efetiva pelo serviço de saúde. </w:t>
      </w:r>
      <w:r>
        <w:rPr>
          <w:sz w:val="24"/>
          <w:szCs w:val="24"/>
        </w:rPr>
        <w:t>ocasionadas pela doença</w:t>
      </w:r>
      <w:r w:rsidRPr="00A03332">
        <w:rPr>
          <w:sz w:val="24"/>
          <w:szCs w:val="24"/>
        </w:rPr>
        <w:t xml:space="preserve">. Dessa forma, é </w:t>
      </w:r>
      <w:r>
        <w:rPr>
          <w:sz w:val="24"/>
          <w:szCs w:val="24"/>
        </w:rPr>
        <w:t>imprescindível que os profissionais atuem de maneira contínua e integralizada, a fim de colaborar para uma maior qualidade de vida desses pacientes</w:t>
      </w:r>
      <w:r w:rsidRPr="00A03332">
        <w:rPr>
          <w:sz w:val="24"/>
          <w:szCs w:val="24"/>
        </w:rPr>
        <w:t>.</w:t>
      </w:r>
      <w:r>
        <w:rPr>
          <w:sz w:val="24"/>
          <w:szCs w:val="24"/>
        </w:rPr>
        <w:t xml:space="preserve"> O estudo </w:t>
      </w:r>
      <w:r w:rsidRPr="00A03332">
        <w:rPr>
          <w:sz w:val="24"/>
          <w:szCs w:val="24"/>
        </w:rPr>
        <w:t xml:space="preserve">também foi relevante para a graduação, </w:t>
      </w:r>
      <w:r>
        <w:rPr>
          <w:sz w:val="24"/>
          <w:szCs w:val="24"/>
        </w:rPr>
        <w:t>especialmente</w:t>
      </w:r>
      <w:r w:rsidRPr="00A03332">
        <w:rPr>
          <w:sz w:val="24"/>
          <w:szCs w:val="24"/>
        </w:rPr>
        <w:t>, para os graduandos do</w:t>
      </w:r>
      <w:r w:rsidR="00DC5DD0">
        <w:rPr>
          <w:sz w:val="24"/>
          <w:szCs w:val="24"/>
        </w:rPr>
        <w:t>s</w:t>
      </w:r>
      <w:r w:rsidRPr="00A03332">
        <w:rPr>
          <w:sz w:val="24"/>
          <w:szCs w:val="24"/>
        </w:rPr>
        <w:t xml:space="preserve"> </w:t>
      </w:r>
      <w:r w:rsidR="00DC5DD0">
        <w:rPr>
          <w:sz w:val="24"/>
          <w:szCs w:val="24"/>
        </w:rPr>
        <w:t>cursos</w:t>
      </w:r>
      <w:r w:rsidRPr="00A03332">
        <w:rPr>
          <w:sz w:val="24"/>
          <w:szCs w:val="24"/>
        </w:rPr>
        <w:t xml:space="preserve"> de </w:t>
      </w:r>
      <w:r w:rsidR="00DC5DD0">
        <w:rPr>
          <w:sz w:val="24"/>
          <w:szCs w:val="24"/>
        </w:rPr>
        <w:t>enfermagem</w:t>
      </w:r>
      <w:r>
        <w:rPr>
          <w:sz w:val="24"/>
          <w:szCs w:val="24"/>
        </w:rPr>
        <w:t xml:space="preserve">, psicologia, </w:t>
      </w:r>
      <w:r w:rsidR="00DC5DD0">
        <w:rPr>
          <w:sz w:val="24"/>
          <w:szCs w:val="24"/>
        </w:rPr>
        <w:t>odontologia, biomedicina</w:t>
      </w:r>
      <w:r>
        <w:rPr>
          <w:sz w:val="24"/>
          <w:szCs w:val="24"/>
        </w:rPr>
        <w:t>, dentre outros,</w:t>
      </w:r>
      <w:r w:rsidRPr="00A03332">
        <w:rPr>
          <w:sz w:val="24"/>
          <w:szCs w:val="24"/>
        </w:rPr>
        <w:t xml:space="preserve"> pois</w:t>
      </w:r>
      <w:r>
        <w:rPr>
          <w:sz w:val="24"/>
          <w:szCs w:val="24"/>
        </w:rPr>
        <w:t xml:space="preserve"> além de promover a </w:t>
      </w:r>
      <w:r>
        <w:rPr>
          <w:sz w:val="24"/>
          <w:szCs w:val="24"/>
        </w:rPr>
        <w:lastRenderedPageBreak/>
        <w:t>interação interdisciplinar,</w:t>
      </w:r>
      <w:r w:rsidRPr="00A03332">
        <w:rPr>
          <w:sz w:val="24"/>
          <w:szCs w:val="24"/>
        </w:rPr>
        <w:t xml:space="preserve"> propiciou maior compreensão e valorização dessa temática.</w:t>
      </w:r>
    </w:p>
    <w:p w14:paraId="0B97B03C" w14:textId="77777777" w:rsidR="00DB6502" w:rsidRPr="00DB6502" w:rsidRDefault="00DB6502" w:rsidP="00DB6502">
      <w:pPr>
        <w:spacing w:line="360" w:lineRule="auto"/>
        <w:ind w:firstLine="720"/>
        <w:jc w:val="both"/>
        <w:rPr>
          <w:sz w:val="24"/>
          <w:szCs w:val="24"/>
        </w:rPr>
      </w:pPr>
    </w:p>
    <w:p w14:paraId="43F823BB" w14:textId="71737933" w:rsidR="000F45F0" w:rsidRDefault="0034223A" w:rsidP="004101CB">
      <w:pPr>
        <w:spacing w:line="360" w:lineRule="auto"/>
        <w:jc w:val="both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REFERÊNCIAS</w:t>
      </w:r>
      <w:r w:rsidR="004101CB" w:rsidRPr="004101CB">
        <w:rPr>
          <w:b/>
          <w:bCs/>
          <w:sz w:val="24"/>
          <w:szCs w:val="24"/>
        </w:rPr>
        <w:t xml:space="preserve"> BIBLIOGRÁFICAS</w:t>
      </w:r>
    </w:p>
    <w:p w14:paraId="23F27F7A" w14:textId="77777777" w:rsidR="00A673EC" w:rsidRPr="00A673EC" w:rsidRDefault="00A673EC" w:rsidP="00820325">
      <w:pPr>
        <w:shd w:val="clear" w:color="auto" w:fill="FFFFFF"/>
        <w:spacing w:line="262" w:lineRule="atLeast"/>
        <w:rPr>
          <w:color w:val="0D0D0D" w:themeColor="text1" w:themeTint="F2"/>
          <w:sz w:val="24"/>
          <w:szCs w:val="24"/>
          <w:lang w:eastAsia="pt-BR"/>
        </w:rPr>
      </w:pPr>
    </w:p>
    <w:p w14:paraId="06D11F87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ALEXANDER, Andrew; LADD, Paddy; POWELL, Steve. Deafness might damage your health.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The Lancet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379, n. 9820, p. 979-981, 2012.</w:t>
      </w:r>
    </w:p>
    <w:p w14:paraId="36EA3F39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01B18B5A" w14:textId="1FB326F5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BACHMAN, Sara S. et al. Provider perceptions of their capacity to offer accessible health care for people with disabilities.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Journal of disability policy studies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17, n. 3, p. 130-136, 2006.</w:t>
      </w:r>
    </w:p>
    <w:p w14:paraId="53884CB7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5F15A040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BERNARDO, Lucas Andreolli et al. Potências e limites no cotidiano da formação acadêmica no cuidado à saúde da pessoa surda.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Escola Anna Nery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25, 2021.</w:t>
      </w:r>
    </w:p>
    <w:p w14:paraId="483A1875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76978F92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lang w:eastAsia="pt-BR"/>
        </w:rPr>
        <w:t>BRASIL. Ministério da Saúde, Decreto-Lei N° 5296, de 02 de dezembro 2004. Recuperado de &lt;</w:t>
      </w:r>
      <w:hyperlink r:id="rId13" w:tgtFrame="_blank" w:history="1">
        <w:r w:rsidRPr="00A673EC">
          <w:rPr>
            <w:color w:val="0D0D0D" w:themeColor="text1" w:themeTint="F2"/>
            <w:sz w:val="24"/>
            <w:szCs w:val="24"/>
            <w:u w:val="single"/>
            <w:lang w:eastAsia="pt-BR"/>
          </w:rPr>
          <w:t>http://www.acessobrasil.org.br/index.php?itemid=43</w:t>
        </w:r>
      </w:hyperlink>
      <w:r w:rsidRPr="00A673EC">
        <w:rPr>
          <w:color w:val="0D0D0D" w:themeColor="text1" w:themeTint="F2"/>
          <w:sz w:val="24"/>
          <w:szCs w:val="24"/>
          <w:u w:val="single"/>
          <w:lang w:eastAsia="pt-BR"/>
        </w:rPr>
        <w:t>&gt;</w:t>
      </w:r>
      <w:r w:rsidRPr="00A673EC">
        <w:rPr>
          <w:color w:val="0D0D0D" w:themeColor="text1" w:themeTint="F2"/>
          <w:sz w:val="24"/>
          <w:szCs w:val="24"/>
          <w:lang w:eastAsia="pt-BR"/>
        </w:rPr>
        <w:t>. Acesso em: 26 de ago de 2022.</w:t>
      </w:r>
    </w:p>
    <w:p w14:paraId="57D99356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10488EFB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CASEY, Rebecca. Disability and unmet health care needs in Canada: a longitudinal analysis.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Disability and health journal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8, n. 2, p. 173-181, 2015.</w:t>
      </w:r>
    </w:p>
    <w:p w14:paraId="42C3F46B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5E7C04F4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CAWTHRA, Lynette. Older people’s health information needs.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Health Libraries Review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16, n. 2, p. 97-105, 1999.</w:t>
      </w:r>
    </w:p>
    <w:p w14:paraId="112F6C29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55B5A73F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CONDESSA, Aline Macarevich et al. Barriers to and facilitators of communication to care for people with sensory disabilities in primary health care: a multilevel study.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Revista Brasileira de Epidemiologia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23, 2020.</w:t>
      </w:r>
    </w:p>
    <w:p w14:paraId="4405DCC6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2A4659E5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DA SILVA MARQUES, Rogério; PEREIRA, Rafaela Miranda Proto. Acessibilidade dos surdos: formação dos profissionais de enfermagem em Itubiara/GO.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Revista Vale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5, n. 9, p. 161-172, 2017.</w:t>
      </w:r>
    </w:p>
    <w:p w14:paraId="00086CAC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0223DCE7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LEAL ROCHA, Lyana; VIEIRA DE LIMA SAINTRAIN, Maria; PIMENTEL GOMES FERNANDES VIEIRA-MEYER, Anya. Access to dental public services by disabled persons.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BMC oral health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15, n. 1, p. 1-9, 2015.</w:t>
      </w:r>
    </w:p>
    <w:p w14:paraId="4F757FE1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48243D1A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MALTA, Deborah Carvalho et al. Prevalência autorreferida de deficiência no Brasil, segundo a Pesquisa Nacional de Saúde, 2013.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Ciência &amp; Saúde Coletiva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21, p. 3253-3264, 2016.</w:t>
      </w:r>
    </w:p>
    <w:p w14:paraId="536EBC6D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5135A06F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MORRISON, Elizabeth H.; GEORGE, Valerie; MOSQUEDA, Laura. Primary care for adults with physical disabilities: perceptions from consumer and provider focus groups.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Family medicine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40, n. 9, p. 645-651, 2008.</w:t>
      </w:r>
    </w:p>
    <w:p w14:paraId="12BBC2C8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6277843C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lastRenderedPageBreak/>
        <w:t>O'DAY, Bonnie L.; KILLEEN, Mary; IEZZONI, Lisa I. Improving health care experiences of persons who are blind or have low vision: suggestions from focus groups.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American Journal of Medical Quality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19, n. 5, p. 193-200, 2004.</w:t>
      </w:r>
    </w:p>
    <w:p w14:paraId="3B76794A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6C76372A" w14:textId="77777777" w:rsid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TORRES, Elisabeth Fátima; MAZZONI, Alberto Angel; MELLO, Anahi Guedes de. Nem toda pessoa cega lê em Braille nem toda pessoa surda se comunica em língua de sinais. </w:t>
      </w:r>
      <w:r w:rsidRPr="00A673EC">
        <w:rPr>
          <w:b/>
          <w:bCs/>
          <w:color w:val="0D0D0D" w:themeColor="text1" w:themeTint="F2"/>
          <w:sz w:val="24"/>
          <w:szCs w:val="24"/>
          <w:shd w:val="clear" w:color="auto" w:fill="FFFFFF"/>
        </w:rPr>
        <w:t>Educação e Pesquisa</w:t>
      </w:r>
      <w:r w:rsidRPr="00A673EC">
        <w:rPr>
          <w:color w:val="0D0D0D" w:themeColor="text1" w:themeTint="F2"/>
          <w:sz w:val="24"/>
          <w:szCs w:val="24"/>
          <w:shd w:val="clear" w:color="auto" w:fill="FFFFFF"/>
        </w:rPr>
        <w:t>, v. 33, p. 369-386, 2007.</w:t>
      </w:r>
    </w:p>
    <w:p w14:paraId="44B22594" w14:textId="77777777" w:rsidR="00A673EC" w:rsidRDefault="00A673EC" w:rsidP="00A673EC">
      <w:pPr>
        <w:widowControl/>
        <w:shd w:val="clear" w:color="auto" w:fill="FFFFFF"/>
        <w:autoSpaceDE/>
        <w:autoSpaceDN/>
        <w:spacing w:before="240" w:after="240" w:line="360" w:lineRule="auto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</w:p>
    <w:p w14:paraId="7CBD3E2A" w14:textId="0E2F3934" w:rsidR="00A673EC" w:rsidRPr="00A673EC" w:rsidRDefault="00A673EC" w:rsidP="000A3FCA">
      <w:pPr>
        <w:widowControl/>
        <w:shd w:val="clear" w:color="auto" w:fill="FFFFFF"/>
        <w:autoSpaceDE/>
        <w:autoSpaceDN/>
        <w:spacing w:before="240" w:after="240"/>
        <w:contextualSpacing/>
        <w:rPr>
          <w:color w:val="0D0D0D" w:themeColor="text1" w:themeTint="F2"/>
          <w:sz w:val="24"/>
          <w:szCs w:val="24"/>
          <w:shd w:val="clear" w:color="auto" w:fill="FFFFFF"/>
        </w:rPr>
      </w:pPr>
      <w:r w:rsidRPr="00A673EC">
        <w:rPr>
          <w:color w:val="0D0D0D" w:themeColor="text1" w:themeTint="F2"/>
          <w:sz w:val="24"/>
          <w:szCs w:val="24"/>
          <w:lang w:eastAsia="pt-BR"/>
        </w:rPr>
        <w:t xml:space="preserve">WORLD HEALTH ORGANIZATION. Global data on visual impairments 2010. </w:t>
      </w:r>
      <w:r w:rsidRPr="00A673EC">
        <w:rPr>
          <w:b/>
          <w:color w:val="0D0D0D" w:themeColor="text1" w:themeTint="F2"/>
          <w:sz w:val="24"/>
          <w:szCs w:val="24"/>
          <w:lang w:eastAsia="pt-BR"/>
        </w:rPr>
        <w:t>Genebra: World Health Organization</w:t>
      </w:r>
      <w:r w:rsidRPr="00A673EC">
        <w:rPr>
          <w:color w:val="0D0D0D" w:themeColor="text1" w:themeTint="F2"/>
          <w:sz w:val="24"/>
          <w:szCs w:val="24"/>
          <w:lang w:eastAsia="pt-BR"/>
        </w:rPr>
        <w:t>, 2012.</w:t>
      </w:r>
      <w:bookmarkStart w:id="0" w:name="_GoBack"/>
      <w:bookmarkEnd w:id="0"/>
    </w:p>
    <w:sectPr w:rsidR="00A673EC" w:rsidRPr="00A673EC" w:rsidSect="003F16B8">
      <w:headerReference w:type="default" r:id="rId14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E7D81" w14:textId="77777777" w:rsidR="002F3263" w:rsidRDefault="002F3263" w:rsidP="006C1C32">
      <w:r>
        <w:separator/>
      </w:r>
    </w:p>
  </w:endnote>
  <w:endnote w:type="continuationSeparator" w:id="0">
    <w:p w14:paraId="78FE924A" w14:textId="77777777" w:rsidR="002F3263" w:rsidRDefault="002F3263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C9F08" w14:textId="77777777" w:rsidR="002F3263" w:rsidRDefault="002F3263" w:rsidP="006C1C32">
      <w:r>
        <w:separator/>
      </w:r>
    </w:p>
  </w:footnote>
  <w:footnote w:type="continuationSeparator" w:id="0">
    <w:p w14:paraId="4D58D2BA" w14:textId="77777777" w:rsidR="002F3263" w:rsidRDefault="002F3263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>
    <w:nsid w:val="14C864B8"/>
    <w:multiLevelType w:val="hybridMultilevel"/>
    <w:tmpl w:val="CE40E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3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4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6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7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9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10">
    <w:nsid w:val="62AF11F1"/>
    <w:multiLevelType w:val="multilevel"/>
    <w:tmpl w:val="DE8C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2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4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12"/>
  </w:num>
  <w:num w:numId="14">
    <w:abstractNumId w:val="14"/>
  </w:num>
  <w:num w:numId="15">
    <w:abstractNumId w:val="1"/>
  </w:num>
  <w:num w:numId="1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0"/>
    <w:rsid w:val="000441A9"/>
    <w:rsid w:val="0005315B"/>
    <w:rsid w:val="00063D02"/>
    <w:rsid w:val="00071C33"/>
    <w:rsid w:val="0007212D"/>
    <w:rsid w:val="00084374"/>
    <w:rsid w:val="00094215"/>
    <w:rsid w:val="000A1E34"/>
    <w:rsid w:val="000A3938"/>
    <w:rsid w:val="000A3FCA"/>
    <w:rsid w:val="000B47B4"/>
    <w:rsid w:val="000C4BBC"/>
    <w:rsid w:val="000C728F"/>
    <w:rsid w:val="000F45F0"/>
    <w:rsid w:val="001040CD"/>
    <w:rsid w:val="001252C4"/>
    <w:rsid w:val="00127ED4"/>
    <w:rsid w:val="00167A5E"/>
    <w:rsid w:val="001921E0"/>
    <w:rsid w:val="001931BB"/>
    <w:rsid w:val="001B0ADD"/>
    <w:rsid w:val="001B0B1A"/>
    <w:rsid w:val="001D15FB"/>
    <w:rsid w:val="001E0776"/>
    <w:rsid w:val="001E10BB"/>
    <w:rsid w:val="002044BB"/>
    <w:rsid w:val="00207037"/>
    <w:rsid w:val="00213275"/>
    <w:rsid w:val="00213B73"/>
    <w:rsid w:val="00234346"/>
    <w:rsid w:val="00251059"/>
    <w:rsid w:val="00256B8B"/>
    <w:rsid w:val="00275754"/>
    <w:rsid w:val="002935AD"/>
    <w:rsid w:val="00296438"/>
    <w:rsid w:val="00297B3D"/>
    <w:rsid w:val="002B7AD2"/>
    <w:rsid w:val="002C798E"/>
    <w:rsid w:val="002D2582"/>
    <w:rsid w:val="002D2CA3"/>
    <w:rsid w:val="002E3873"/>
    <w:rsid w:val="002E5332"/>
    <w:rsid w:val="002F02EB"/>
    <w:rsid w:val="002F3263"/>
    <w:rsid w:val="002F59EF"/>
    <w:rsid w:val="0031760D"/>
    <w:rsid w:val="00324E3C"/>
    <w:rsid w:val="0034223A"/>
    <w:rsid w:val="0034651B"/>
    <w:rsid w:val="003676EC"/>
    <w:rsid w:val="003C4F12"/>
    <w:rsid w:val="003D1186"/>
    <w:rsid w:val="003E6AB8"/>
    <w:rsid w:val="003F16B8"/>
    <w:rsid w:val="004012A9"/>
    <w:rsid w:val="00405A04"/>
    <w:rsid w:val="00406C77"/>
    <w:rsid w:val="004101CB"/>
    <w:rsid w:val="00434E39"/>
    <w:rsid w:val="00436222"/>
    <w:rsid w:val="00446763"/>
    <w:rsid w:val="00450E1F"/>
    <w:rsid w:val="00495F4B"/>
    <w:rsid w:val="004A317B"/>
    <w:rsid w:val="004A3414"/>
    <w:rsid w:val="004A5E61"/>
    <w:rsid w:val="004B0001"/>
    <w:rsid w:val="004B0817"/>
    <w:rsid w:val="004F51A8"/>
    <w:rsid w:val="00505CE0"/>
    <w:rsid w:val="00527577"/>
    <w:rsid w:val="005314B1"/>
    <w:rsid w:val="005368CD"/>
    <w:rsid w:val="00540F9E"/>
    <w:rsid w:val="00543F8B"/>
    <w:rsid w:val="005460BA"/>
    <w:rsid w:val="00546993"/>
    <w:rsid w:val="005853FE"/>
    <w:rsid w:val="00585597"/>
    <w:rsid w:val="00595204"/>
    <w:rsid w:val="005A661E"/>
    <w:rsid w:val="005C4AD1"/>
    <w:rsid w:val="005E06BA"/>
    <w:rsid w:val="005E1E44"/>
    <w:rsid w:val="005E2805"/>
    <w:rsid w:val="005F09DB"/>
    <w:rsid w:val="00612E17"/>
    <w:rsid w:val="0061338E"/>
    <w:rsid w:val="00630DC5"/>
    <w:rsid w:val="00633EE4"/>
    <w:rsid w:val="00634C75"/>
    <w:rsid w:val="00643B03"/>
    <w:rsid w:val="00662F23"/>
    <w:rsid w:val="00663689"/>
    <w:rsid w:val="00665A4A"/>
    <w:rsid w:val="00696B70"/>
    <w:rsid w:val="006C1207"/>
    <w:rsid w:val="006C1C32"/>
    <w:rsid w:val="006D317C"/>
    <w:rsid w:val="006D734D"/>
    <w:rsid w:val="00717750"/>
    <w:rsid w:val="00732F79"/>
    <w:rsid w:val="00740CD2"/>
    <w:rsid w:val="007509C0"/>
    <w:rsid w:val="00762BD3"/>
    <w:rsid w:val="0077355B"/>
    <w:rsid w:val="007949D7"/>
    <w:rsid w:val="007A3D87"/>
    <w:rsid w:val="007B2D89"/>
    <w:rsid w:val="007B2FF1"/>
    <w:rsid w:val="007B3983"/>
    <w:rsid w:val="007D5151"/>
    <w:rsid w:val="007E727D"/>
    <w:rsid w:val="007F2E4D"/>
    <w:rsid w:val="007F45CD"/>
    <w:rsid w:val="008040FD"/>
    <w:rsid w:val="00813E62"/>
    <w:rsid w:val="00820325"/>
    <w:rsid w:val="00822D48"/>
    <w:rsid w:val="00863ECC"/>
    <w:rsid w:val="008640F8"/>
    <w:rsid w:val="00877F48"/>
    <w:rsid w:val="008816BD"/>
    <w:rsid w:val="008825C0"/>
    <w:rsid w:val="00893F36"/>
    <w:rsid w:val="008C2D37"/>
    <w:rsid w:val="008D77B3"/>
    <w:rsid w:val="008E7873"/>
    <w:rsid w:val="00904047"/>
    <w:rsid w:val="00932FB5"/>
    <w:rsid w:val="00946291"/>
    <w:rsid w:val="00966F1B"/>
    <w:rsid w:val="00972198"/>
    <w:rsid w:val="009812B8"/>
    <w:rsid w:val="009868F5"/>
    <w:rsid w:val="00987AF5"/>
    <w:rsid w:val="00996495"/>
    <w:rsid w:val="009B24E1"/>
    <w:rsid w:val="00A039CF"/>
    <w:rsid w:val="00A133D3"/>
    <w:rsid w:val="00A37A9F"/>
    <w:rsid w:val="00A42D59"/>
    <w:rsid w:val="00A53AC8"/>
    <w:rsid w:val="00A54255"/>
    <w:rsid w:val="00A57B94"/>
    <w:rsid w:val="00A61D34"/>
    <w:rsid w:val="00A673EC"/>
    <w:rsid w:val="00A74BB1"/>
    <w:rsid w:val="00AC1D15"/>
    <w:rsid w:val="00AC55FD"/>
    <w:rsid w:val="00AD21A9"/>
    <w:rsid w:val="00AE3256"/>
    <w:rsid w:val="00AE52FB"/>
    <w:rsid w:val="00B5614B"/>
    <w:rsid w:val="00B65EA0"/>
    <w:rsid w:val="00B7740C"/>
    <w:rsid w:val="00B848B8"/>
    <w:rsid w:val="00B92EF2"/>
    <w:rsid w:val="00BA054F"/>
    <w:rsid w:val="00BB167C"/>
    <w:rsid w:val="00BE3C04"/>
    <w:rsid w:val="00C21D5E"/>
    <w:rsid w:val="00C26F58"/>
    <w:rsid w:val="00C300D7"/>
    <w:rsid w:val="00C70671"/>
    <w:rsid w:val="00C838B6"/>
    <w:rsid w:val="00C879EF"/>
    <w:rsid w:val="00C90E5A"/>
    <w:rsid w:val="00CD1D8B"/>
    <w:rsid w:val="00CE5ABE"/>
    <w:rsid w:val="00CF4F44"/>
    <w:rsid w:val="00D0592F"/>
    <w:rsid w:val="00D254C8"/>
    <w:rsid w:val="00D314F2"/>
    <w:rsid w:val="00D4791E"/>
    <w:rsid w:val="00D9706C"/>
    <w:rsid w:val="00DA2C6F"/>
    <w:rsid w:val="00DB0F67"/>
    <w:rsid w:val="00DB6502"/>
    <w:rsid w:val="00DC5DD0"/>
    <w:rsid w:val="00DD7EEF"/>
    <w:rsid w:val="00DE6CCB"/>
    <w:rsid w:val="00DF4CFE"/>
    <w:rsid w:val="00E046C2"/>
    <w:rsid w:val="00E27DD3"/>
    <w:rsid w:val="00E45273"/>
    <w:rsid w:val="00E64E45"/>
    <w:rsid w:val="00E671E5"/>
    <w:rsid w:val="00E75D9E"/>
    <w:rsid w:val="00E80777"/>
    <w:rsid w:val="00E83271"/>
    <w:rsid w:val="00EC4449"/>
    <w:rsid w:val="00EC75EE"/>
    <w:rsid w:val="00EE1582"/>
    <w:rsid w:val="00F1226D"/>
    <w:rsid w:val="00F151F0"/>
    <w:rsid w:val="00F53695"/>
    <w:rsid w:val="00F56AFF"/>
    <w:rsid w:val="00F60532"/>
    <w:rsid w:val="00F62B0B"/>
    <w:rsid w:val="00F654D6"/>
    <w:rsid w:val="00F6790E"/>
    <w:rsid w:val="00F72C84"/>
    <w:rsid w:val="00F825AB"/>
    <w:rsid w:val="00F876A6"/>
    <w:rsid w:val="00FA3107"/>
    <w:rsid w:val="00FA3BB7"/>
    <w:rsid w:val="00FB148F"/>
    <w:rsid w:val="00FB334B"/>
    <w:rsid w:val="00FC0F67"/>
    <w:rsid w:val="00FC67A5"/>
    <w:rsid w:val="00FD72B7"/>
    <w:rsid w:val="00FE6492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AD21A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Estilo1">
    <w:name w:val="Estilo1"/>
    <w:basedOn w:val="Normal"/>
    <w:link w:val="Estilo1Char"/>
    <w:qFormat/>
    <w:rsid w:val="00256B8B"/>
    <w:pPr>
      <w:widowControl/>
      <w:autoSpaceDE/>
      <w:autoSpaceDN/>
      <w:spacing w:line="360" w:lineRule="auto"/>
    </w:pPr>
    <w:rPr>
      <w:rFonts w:ascii="Arial" w:eastAsia="Calibri" w:hAnsi="Arial" w:cs="Arial"/>
      <w:b/>
      <w:sz w:val="24"/>
      <w:szCs w:val="28"/>
      <w:lang w:val="pt-BR"/>
    </w:rPr>
  </w:style>
  <w:style w:type="character" w:customStyle="1" w:styleId="Estilo1Char">
    <w:name w:val="Estilo1 Char"/>
    <w:link w:val="Estilo1"/>
    <w:rsid w:val="00256B8B"/>
    <w:rPr>
      <w:rFonts w:ascii="Arial" w:eastAsia="Calibri" w:hAnsi="Arial" w:cs="Arial"/>
      <w:b/>
      <w:sz w:val="24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sbzs@gmail.com" TargetMode="External"/><Relationship Id="rId13" Type="http://schemas.openxmlformats.org/officeDocument/2006/relationships/hyperlink" Target="http://www.acessobrasil.org.br/index.php?itemid=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namedeiros16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da.mahatma.vm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akarulinelima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rid_lattes@hot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961B-83C6-469C-A2F1-1109862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7</Pages>
  <Words>2573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Rebeca Araújo</cp:lastModifiedBy>
  <cp:revision>130</cp:revision>
  <cp:lastPrinted>2022-06-17T02:21:00Z</cp:lastPrinted>
  <dcterms:created xsi:type="dcterms:W3CDTF">2022-06-17T02:24:00Z</dcterms:created>
  <dcterms:modified xsi:type="dcterms:W3CDTF">2022-09-05T00:20:00Z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