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BC2B" w14:textId="77777777" w:rsidR="00BB7796" w:rsidRPr="006D45D5" w:rsidRDefault="00BB779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332870D" w14:textId="77777777" w:rsidR="00BB7796" w:rsidRPr="006D45D5" w:rsidRDefault="00BB779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473D7DE" w14:textId="77777777" w:rsidR="00BB7796" w:rsidRPr="006D45D5" w:rsidRDefault="00BB7796">
      <w:pPr>
        <w:pBdr>
          <w:top w:val="nil"/>
          <w:left w:val="nil"/>
          <w:bottom w:val="nil"/>
          <w:right w:val="nil"/>
          <w:between w:val="nil"/>
        </w:pBdr>
        <w:rPr>
          <w:b/>
          <w:sz w:val="16"/>
          <w:szCs w:val="16"/>
        </w:rPr>
      </w:pPr>
    </w:p>
    <w:p w14:paraId="6B2D0077" w14:textId="77777777" w:rsidR="00BB7796" w:rsidRPr="006D45D5" w:rsidRDefault="00205492">
      <w:pPr>
        <w:spacing w:line="360" w:lineRule="auto"/>
        <w:jc w:val="center"/>
        <w:rPr>
          <w:b/>
          <w:sz w:val="24"/>
          <w:szCs w:val="24"/>
        </w:rPr>
      </w:pPr>
      <w:r w:rsidRPr="006D45D5">
        <w:rPr>
          <w:b/>
          <w:sz w:val="24"/>
          <w:szCs w:val="24"/>
        </w:rPr>
        <w:t xml:space="preserve">AVALIAÇÃO DO ESTADO NUTRICIONAL E PRÁTICAS ALIMENTARES DE GESTANTES ADOLESCENTES: ANÁLISE DE DADOS SECUNDÁRIOS  </w:t>
      </w:r>
    </w:p>
    <w:p w14:paraId="3877C480" w14:textId="77777777" w:rsidR="00BB7796" w:rsidRPr="006D45D5" w:rsidRDefault="00BB7796">
      <w:pPr>
        <w:spacing w:line="360" w:lineRule="auto"/>
        <w:jc w:val="center"/>
        <w:rPr>
          <w:b/>
          <w:sz w:val="24"/>
          <w:szCs w:val="24"/>
        </w:rPr>
      </w:pPr>
    </w:p>
    <w:p w14:paraId="65BA324C" w14:textId="77777777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sz w:val="24"/>
          <w:szCs w:val="24"/>
        </w:rPr>
      </w:pPr>
      <w:r w:rsidRPr="006D45D5">
        <w:rPr>
          <w:b/>
          <w:sz w:val="24"/>
          <w:szCs w:val="24"/>
          <w:u w:val="single"/>
        </w:rPr>
        <w:t>Roberta Bezerra Rodrigues</w:t>
      </w:r>
      <w:r w:rsidRPr="006D45D5">
        <w:rPr>
          <w:b/>
          <w:sz w:val="24"/>
          <w:szCs w:val="24"/>
        </w:rPr>
        <w:t xml:space="preserve"> </w:t>
      </w:r>
      <w:r w:rsidRPr="006D45D5">
        <w:rPr>
          <w:b/>
          <w:sz w:val="24"/>
          <w:szCs w:val="24"/>
          <w:vertAlign w:val="superscript"/>
        </w:rPr>
        <w:t>1</w:t>
      </w:r>
    </w:p>
    <w:p w14:paraId="3328789C" w14:textId="77777777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sz w:val="24"/>
          <w:szCs w:val="24"/>
        </w:rPr>
      </w:pPr>
      <w:r w:rsidRPr="006D45D5">
        <w:rPr>
          <w:sz w:val="24"/>
          <w:szCs w:val="24"/>
          <w:vertAlign w:val="superscript"/>
        </w:rPr>
        <w:t>1</w:t>
      </w:r>
      <w:r w:rsidRPr="006D45D5">
        <w:rPr>
          <w:sz w:val="24"/>
          <w:szCs w:val="24"/>
        </w:rPr>
        <w:t>Universidade Potiguar - UNP/ ,(robertabznutri@gmail.com).</w:t>
      </w:r>
    </w:p>
    <w:p w14:paraId="32A7BAD6" w14:textId="77777777" w:rsidR="00BB7796" w:rsidRPr="006D45D5" w:rsidRDefault="00BB77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67B76620" w14:textId="77777777" w:rsidR="00BB7796" w:rsidRPr="006D45D5" w:rsidRDefault="00205492">
      <w:pPr>
        <w:spacing w:line="360" w:lineRule="auto"/>
        <w:rPr>
          <w:sz w:val="24"/>
          <w:szCs w:val="24"/>
        </w:rPr>
      </w:pPr>
      <w:r w:rsidRPr="006D45D5">
        <w:rPr>
          <w:b/>
          <w:sz w:val="24"/>
          <w:szCs w:val="24"/>
        </w:rPr>
        <w:t xml:space="preserve">Área Temática: </w:t>
      </w:r>
      <w:r w:rsidRPr="006D45D5">
        <w:rPr>
          <w:sz w:val="24"/>
          <w:szCs w:val="24"/>
        </w:rPr>
        <w:t>Ciências da Saúde.</w:t>
      </w:r>
    </w:p>
    <w:p w14:paraId="01D5D749" w14:textId="77777777" w:rsidR="00BB7796" w:rsidRPr="006D45D5" w:rsidRDefault="00205492">
      <w:pPr>
        <w:spacing w:line="360" w:lineRule="auto"/>
        <w:rPr>
          <w:sz w:val="24"/>
          <w:szCs w:val="24"/>
        </w:rPr>
      </w:pPr>
      <w:r w:rsidRPr="006D45D5">
        <w:rPr>
          <w:b/>
          <w:sz w:val="24"/>
          <w:szCs w:val="24"/>
        </w:rPr>
        <w:t xml:space="preserve">E-mail do autor para correspondência: </w:t>
      </w:r>
      <w:r w:rsidRPr="006D45D5">
        <w:rPr>
          <w:sz w:val="24"/>
          <w:szCs w:val="24"/>
        </w:rPr>
        <w:t>robertabznutri@gmail.com</w:t>
      </w:r>
    </w:p>
    <w:p w14:paraId="03B0B017" w14:textId="77777777" w:rsidR="00BB7796" w:rsidRPr="006D45D5" w:rsidRDefault="00BB7796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14:paraId="2C60080C" w14:textId="77777777" w:rsidR="00BB7796" w:rsidRPr="006D45D5" w:rsidRDefault="00205492">
      <w:pPr>
        <w:jc w:val="center"/>
        <w:rPr>
          <w:b/>
          <w:sz w:val="24"/>
          <w:szCs w:val="24"/>
        </w:rPr>
      </w:pPr>
      <w:r w:rsidRPr="006D45D5">
        <w:rPr>
          <w:b/>
          <w:sz w:val="24"/>
          <w:szCs w:val="24"/>
        </w:rPr>
        <w:t>RESUMO</w:t>
      </w:r>
    </w:p>
    <w:p w14:paraId="7B218CD6" w14:textId="77777777" w:rsidR="00BB7796" w:rsidRPr="006D45D5" w:rsidRDefault="00BB7796">
      <w:pPr>
        <w:jc w:val="both"/>
        <w:rPr>
          <w:sz w:val="24"/>
          <w:szCs w:val="24"/>
        </w:rPr>
      </w:pPr>
    </w:p>
    <w:p w14:paraId="5124F28D" w14:textId="50B2C1CD" w:rsidR="00BB7796" w:rsidRPr="006D45D5" w:rsidRDefault="00205492">
      <w:pPr>
        <w:jc w:val="both"/>
        <w:rPr>
          <w:bCs/>
          <w:sz w:val="24"/>
          <w:szCs w:val="24"/>
          <w:lang w:val="pt-BR"/>
        </w:rPr>
      </w:pPr>
      <w:r w:rsidRPr="006D45D5">
        <w:rPr>
          <w:b/>
          <w:sz w:val="24"/>
          <w:szCs w:val="24"/>
        </w:rPr>
        <w:t>Introdução:</w:t>
      </w:r>
      <w:r w:rsidRPr="006D45D5">
        <w:rPr>
          <w:sz w:val="24"/>
          <w:szCs w:val="24"/>
        </w:rPr>
        <w:t xml:space="preserve"> A gravidez na adolescência é considerada um </w:t>
      </w:r>
      <w:r w:rsidRPr="006D45D5">
        <w:rPr>
          <w:sz w:val="24"/>
          <w:szCs w:val="24"/>
          <w:highlight w:val="white"/>
        </w:rPr>
        <w:t xml:space="preserve">dentre os problemas de saúde durante essa faixa etária, destacando praticamente em todos os países, principalmente </w:t>
      </w:r>
      <w:r w:rsidRPr="006D45D5">
        <w:rPr>
          <w:sz w:val="24"/>
          <w:szCs w:val="24"/>
          <w:highlight w:val="white"/>
        </w:rPr>
        <w:t>aqueles que se encontram em desenvolvimento.</w:t>
      </w:r>
      <w:r w:rsidRPr="006D45D5">
        <w:rPr>
          <w:sz w:val="24"/>
          <w:szCs w:val="24"/>
        </w:rPr>
        <w:t xml:space="preserve"> Durante esse período o organismo materno passa por muitas alterações fisiológicas e com isso é evidente que deve ser feito o acompanhamento nutricional no decorrer dos meses de acordo com as necessidades nutrici</w:t>
      </w:r>
      <w:r w:rsidRPr="006D45D5">
        <w:rPr>
          <w:sz w:val="24"/>
          <w:szCs w:val="24"/>
        </w:rPr>
        <w:t>onais.</w:t>
      </w:r>
      <w:r w:rsidRPr="006D45D5">
        <w:rPr>
          <w:sz w:val="24"/>
          <w:szCs w:val="24"/>
          <w:highlight w:val="white"/>
        </w:rPr>
        <w:t xml:space="preserve"> </w:t>
      </w:r>
      <w:r w:rsidRPr="006D45D5">
        <w:rPr>
          <w:b/>
          <w:sz w:val="24"/>
          <w:szCs w:val="24"/>
        </w:rPr>
        <w:t xml:space="preserve">Objetivo: </w:t>
      </w:r>
      <w:r w:rsidRPr="006D45D5">
        <w:rPr>
          <w:sz w:val="24"/>
          <w:szCs w:val="24"/>
        </w:rPr>
        <w:t>Identificar o estado nutricional e os alimentos mais consumidos por gestantes adolescentes em 2021.</w:t>
      </w:r>
      <w:r w:rsidRPr="006D45D5">
        <w:rPr>
          <w:b/>
          <w:sz w:val="24"/>
          <w:szCs w:val="24"/>
        </w:rPr>
        <w:t xml:space="preserve"> Método: </w:t>
      </w:r>
      <w:r w:rsidRPr="006D45D5">
        <w:rPr>
          <w:sz w:val="24"/>
          <w:szCs w:val="24"/>
        </w:rPr>
        <w:t>Trata-se de um estudo epidemiológico, retrospectivo e descritivo onde analisa o estado nutricional e consumo alimentar de gestantes</w:t>
      </w:r>
      <w:r w:rsidRPr="006D45D5">
        <w:rPr>
          <w:sz w:val="24"/>
          <w:szCs w:val="24"/>
        </w:rPr>
        <w:t xml:space="preserve"> adolescentes atendidas através da atenção básica em 2021, acompanhadas através do Sistema de Vigilância Alimentar e Nutricional (SISVAN) em todo território nacional.</w:t>
      </w:r>
      <w:r w:rsidRPr="006D45D5">
        <w:rPr>
          <w:b/>
          <w:sz w:val="24"/>
          <w:szCs w:val="24"/>
        </w:rPr>
        <w:t xml:space="preserve"> Resultados:</w:t>
      </w:r>
      <w:r w:rsidRPr="006D45D5">
        <w:rPr>
          <w:sz w:val="24"/>
          <w:szCs w:val="24"/>
        </w:rPr>
        <w:t xml:space="preserve"> Foram acompanhadas na atenção básica durante 2021 cerca de 494.378 gestantes </w:t>
      </w:r>
      <w:r w:rsidRPr="006D45D5">
        <w:rPr>
          <w:sz w:val="24"/>
          <w:szCs w:val="24"/>
        </w:rPr>
        <w:t>adolescentes mas, somente 11.317 através do SISVAN e dentre elas apenas 2.382 responderam o questionário de marcadores de consumo alimentar. Verificou-se a predominância de gestantes em eutrofia (39.33%), baixo peso (19.6%), sobrepeso (19.6%) e com menor f</w:t>
      </w:r>
      <w:r w:rsidRPr="006D45D5">
        <w:rPr>
          <w:sz w:val="24"/>
          <w:szCs w:val="24"/>
        </w:rPr>
        <w:t>requência obesidade (11.78%). Quanto aos alimentos mais consumidos os ultraprocessador se encontra mais frequente (85%), em seguida se encontram frutas (69%), verduras e legumes (65%), bebidas adoçadas (63%) e com menor frequência biscoito recheado , doces</w:t>
      </w:r>
      <w:r w:rsidRPr="006D45D5">
        <w:rPr>
          <w:sz w:val="24"/>
          <w:szCs w:val="24"/>
        </w:rPr>
        <w:t xml:space="preserve"> e guloseimas (48%) e </w:t>
      </w:r>
      <w:r w:rsidR="009A3E14" w:rsidRPr="006D45D5">
        <w:rPr>
          <w:sz w:val="24"/>
          <w:szCs w:val="24"/>
        </w:rPr>
        <w:t>macarrão instan</w:t>
      </w:r>
      <w:r w:rsidR="002728AD" w:rsidRPr="006D45D5">
        <w:rPr>
          <w:sz w:val="24"/>
          <w:szCs w:val="24"/>
        </w:rPr>
        <w:t xml:space="preserve">tâneo, </w:t>
      </w:r>
      <w:r w:rsidRPr="006D45D5">
        <w:rPr>
          <w:sz w:val="24"/>
          <w:szCs w:val="24"/>
        </w:rPr>
        <w:t>salgadinho de pacote</w:t>
      </w:r>
      <w:r w:rsidR="002728AD" w:rsidRPr="006D45D5">
        <w:rPr>
          <w:sz w:val="24"/>
          <w:szCs w:val="24"/>
        </w:rPr>
        <w:t xml:space="preserve"> </w:t>
      </w:r>
      <w:r w:rsidRPr="006D45D5">
        <w:rPr>
          <w:sz w:val="24"/>
          <w:szCs w:val="24"/>
        </w:rPr>
        <w:t xml:space="preserve">ou biscoito salgado (44%). </w:t>
      </w:r>
      <w:r w:rsidRPr="006D45D5">
        <w:rPr>
          <w:b/>
          <w:sz w:val="24"/>
          <w:szCs w:val="24"/>
        </w:rPr>
        <w:t>Considerações Finais:</w:t>
      </w:r>
      <w:r w:rsidR="009A3E14" w:rsidRPr="006D45D5">
        <w:rPr>
          <w:b/>
          <w:sz w:val="24"/>
          <w:szCs w:val="24"/>
        </w:rPr>
        <w:t xml:space="preserve"> </w:t>
      </w:r>
      <w:r w:rsidR="009A3E14" w:rsidRPr="006D45D5">
        <w:rPr>
          <w:bCs/>
          <w:sz w:val="24"/>
          <w:szCs w:val="24"/>
        </w:rPr>
        <w:t>Identificou-se a predominância de gestantes adolescentes em eutrofia e baixo peso e o consumo de alimentos mais frequente os ultraprocessados, frutas, verduras e legumes e com menor frequência</w:t>
      </w:r>
      <w:r w:rsidR="002728AD" w:rsidRPr="006D45D5">
        <w:rPr>
          <w:bCs/>
          <w:sz w:val="24"/>
          <w:szCs w:val="24"/>
        </w:rPr>
        <w:t xml:space="preserve"> </w:t>
      </w:r>
      <w:r w:rsidR="002728AD" w:rsidRPr="006D45D5">
        <w:rPr>
          <w:sz w:val="24"/>
          <w:szCs w:val="24"/>
          <w:highlight w:val="white"/>
        </w:rPr>
        <w:t>de macarrão instantâneo, salgadinho de pacote ou biscoito salgado</w:t>
      </w:r>
      <w:r w:rsidR="002728AD" w:rsidRPr="006D45D5">
        <w:rPr>
          <w:sz w:val="24"/>
          <w:szCs w:val="24"/>
        </w:rPr>
        <w:t>. Sendo assim</w:t>
      </w:r>
      <w:r w:rsidR="009F10A9" w:rsidRPr="006D45D5">
        <w:rPr>
          <w:sz w:val="24"/>
          <w:szCs w:val="24"/>
        </w:rPr>
        <w:t xml:space="preserve"> é evidenciado </w:t>
      </w:r>
      <w:r w:rsidR="002728AD" w:rsidRPr="006D45D5">
        <w:rPr>
          <w:sz w:val="24"/>
          <w:szCs w:val="24"/>
        </w:rPr>
        <w:t>o papel fundamental do acompanhamento nutricional durante a gestação e o</w:t>
      </w:r>
      <w:r w:rsidR="009F10A9" w:rsidRPr="006D45D5">
        <w:rPr>
          <w:sz w:val="24"/>
          <w:szCs w:val="24"/>
        </w:rPr>
        <w:t xml:space="preserve"> icentivo</w:t>
      </w:r>
      <w:r w:rsidR="002728AD" w:rsidRPr="006D45D5">
        <w:rPr>
          <w:sz w:val="24"/>
          <w:szCs w:val="24"/>
        </w:rPr>
        <w:t xml:space="preserve"> ao consum</w:t>
      </w:r>
      <w:r w:rsidR="009F10A9" w:rsidRPr="006D45D5">
        <w:rPr>
          <w:sz w:val="24"/>
          <w:szCs w:val="24"/>
        </w:rPr>
        <w:t>o</w:t>
      </w:r>
      <w:r w:rsidR="002728AD" w:rsidRPr="006D45D5">
        <w:rPr>
          <w:sz w:val="24"/>
          <w:szCs w:val="24"/>
        </w:rPr>
        <w:t xml:space="preserve"> de alimentos in natura e minimamente processados dentro das necessidades estabelecidas fazendo com que evite complicações futuras a saúde</w:t>
      </w:r>
      <w:r w:rsidR="009F10A9" w:rsidRPr="006D45D5">
        <w:rPr>
          <w:sz w:val="24"/>
          <w:szCs w:val="24"/>
        </w:rPr>
        <w:t>.</w:t>
      </w:r>
    </w:p>
    <w:p w14:paraId="1179F6BF" w14:textId="77777777" w:rsidR="00BB7796" w:rsidRPr="006D45D5" w:rsidRDefault="00205492">
      <w:pPr>
        <w:jc w:val="both"/>
        <w:rPr>
          <w:sz w:val="24"/>
          <w:szCs w:val="24"/>
        </w:rPr>
      </w:pPr>
      <w:r w:rsidRPr="006D45D5">
        <w:rPr>
          <w:b/>
          <w:sz w:val="24"/>
          <w:szCs w:val="24"/>
        </w:rPr>
        <w:t xml:space="preserve">Palavras-chave: </w:t>
      </w:r>
      <w:r w:rsidRPr="006D45D5">
        <w:rPr>
          <w:sz w:val="24"/>
          <w:szCs w:val="24"/>
        </w:rPr>
        <w:t xml:space="preserve">Estado nutricional; Consumo alimentar; Gestação na adolescência. </w:t>
      </w:r>
    </w:p>
    <w:p w14:paraId="0EFBC9F7" w14:textId="77777777" w:rsidR="00BB7796" w:rsidRPr="006D45D5" w:rsidRDefault="00205492">
      <w:pPr>
        <w:jc w:val="both"/>
        <w:rPr>
          <w:sz w:val="24"/>
          <w:szCs w:val="24"/>
        </w:rPr>
      </w:pPr>
      <w:r w:rsidRPr="006D45D5">
        <w:rPr>
          <w:b/>
          <w:sz w:val="24"/>
          <w:szCs w:val="24"/>
        </w:rPr>
        <w:t xml:space="preserve">Área Temática: </w:t>
      </w:r>
      <w:r w:rsidRPr="006D45D5">
        <w:rPr>
          <w:sz w:val="24"/>
          <w:szCs w:val="24"/>
        </w:rPr>
        <w:t xml:space="preserve">Ciências da Saúde. </w:t>
      </w:r>
    </w:p>
    <w:p w14:paraId="6C7FD4A1" w14:textId="77777777" w:rsidR="00BB7796" w:rsidRPr="006D45D5" w:rsidRDefault="00BB7796">
      <w:pPr>
        <w:jc w:val="both"/>
        <w:rPr>
          <w:sz w:val="24"/>
          <w:szCs w:val="24"/>
        </w:rPr>
      </w:pPr>
    </w:p>
    <w:p w14:paraId="7F0D24C3" w14:textId="74C1ABB6" w:rsidR="00BB7796" w:rsidRPr="006D45D5" w:rsidRDefault="00BB77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44E567F1" w14:textId="2FD16816" w:rsidR="009F10A9" w:rsidRPr="006D45D5" w:rsidRDefault="009F1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0F92DE2D" w14:textId="10621115" w:rsidR="009F10A9" w:rsidRPr="006D45D5" w:rsidRDefault="009F1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1D3616F7" w14:textId="77777777" w:rsidR="009F10A9" w:rsidRPr="006D45D5" w:rsidRDefault="009F1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36484BD8" w14:textId="77777777" w:rsidR="00BB7796" w:rsidRPr="006D45D5" w:rsidRDefault="00205492">
      <w:pPr>
        <w:spacing w:line="360" w:lineRule="auto"/>
        <w:jc w:val="both"/>
        <w:rPr>
          <w:b/>
          <w:sz w:val="24"/>
          <w:szCs w:val="24"/>
        </w:rPr>
      </w:pPr>
      <w:r w:rsidRPr="006D45D5">
        <w:rPr>
          <w:b/>
          <w:sz w:val="24"/>
          <w:szCs w:val="24"/>
        </w:rPr>
        <w:lastRenderedPageBreak/>
        <w:t>1 INTRODUÇÃO</w:t>
      </w:r>
    </w:p>
    <w:p w14:paraId="0E9272D1" w14:textId="710FB600" w:rsidR="00BB7796" w:rsidRPr="006D45D5" w:rsidRDefault="00205492">
      <w:pPr>
        <w:spacing w:line="360" w:lineRule="auto"/>
        <w:ind w:firstLine="720"/>
        <w:jc w:val="both"/>
        <w:rPr>
          <w:sz w:val="24"/>
          <w:szCs w:val="24"/>
        </w:rPr>
      </w:pPr>
      <w:r w:rsidRPr="006D45D5">
        <w:rPr>
          <w:sz w:val="24"/>
          <w:szCs w:val="24"/>
        </w:rPr>
        <w:t>De acordo com a Organização Mundial da Saúde (WHO,</w:t>
      </w:r>
      <w:r w:rsidR="00CA59AC">
        <w:rPr>
          <w:sz w:val="24"/>
          <w:szCs w:val="24"/>
        </w:rPr>
        <w:t xml:space="preserve"> </w:t>
      </w:r>
      <w:r w:rsidRPr="006D45D5">
        <w:rPr>
          <w:sz w:val="24"/>
          <w:szCs w:val="24"/>
        </w:rPr>
        <w:t>1986), a adolescência é representada ess</w:t>
      </w:r>
      <w:r w:rsidR="006D45D5">
        <w:rPr>
          <w:sz w:val="24"/>
          <w:szCs w:val="24"/>
        </w:rPr>
        <w:t>e</w:t>
      </w:r>
      <w:r w:rsidRPr="006D45D5">
        <w:rPr>
          <w:sz w:val="24"/>
          <w:szCs w:val="24"/>
        </w:rPr>
        <w:t xml:space="preserve"> período cronológico entre 10 a 19 anos completos e durante essa fase de transição é caracterizada por mudanças biológicas, psicológicas, cognitivas</w:t>
      </w:r>
      <w:r w:rsidRPr="006D45D5">
        <w:rPr>
          <w:sz w:val="24"/>
          <w:szCs w:val="24"/>
        </w:rPr>
        <w:t xml:space="preserve"> e sociais que ocorrem intensamente (</w:t>
      </w:r>
      <w:r w:rsidRPr="006D45D5">
        <w:rPr>
          <w:sz w:val="24"/>
          <w:szCs w:val="24"/>
          <w:highlight w:val="white"/>
        </w:rPr>
        <w:t>STORY, M. et al</w:t>
      </w:r>
      <w:r w:rsidR="001D10F2">
        <w:rPr>
          <w:sz w:val="24"/>
          <w:szCs w:val="24"/>
          <w:highlight w:val="white"/>
        </w:rPr>
        <w:t>.,</w:t>
      </w:r>
      <w:r w:rsidRPr="006D45D5">
        <w:rPr>
          <w:sz w:val="24"/>
          <w:szCs w:val="24"/>
          <w:highlight w:val="white"/>
        </w:rPr>
        <w:t xml:space="preserve"> </w:t>
      </w:r>
      <w:r w:rsidR="002F24DD">
        <w:rPr>
          <w:sz w:val="24"/>
          <w:szCs w:val="24"/>
          <w:highlight w:val="white"/>
        </w:rPr>
        <w:t>1994</w:t>
      </w:r>
      <w:r w:rsidRPr="006D45D5">
        <w:rPr>
          <w:sz w:val="24"/>
          <w:szCs w:val="24"/>
          <w:highlight w:val="white"/>
        </w:rPr>
        <w:t>). Estima-se que no Brasil a proporção de adolescentes</w:t>
      </w:r>
      <w:r w:rsidR="006D45D5">
        <w:rPr>
          <w:sz w:val="24"/>
          <w:szCs w:val="24"/>
          <w:highlight w:val="white"/>
        </w:rPr>
        <w:t>,</w:t>
      </w:r>
      <w:r w:rsidRPr="006D45D5">
        <w:rPr>
          <w:sz w:val="24"/>
          <w:szCs w:val="24"/>
          <w:highlight w:val="white"/>
        </w:rPr>
        <w:t xml:space="preserve"> alcance 23% da população</w:t>
      </w:r>
      <w:r w:rsidR="00FD6F3A" w:rsidRPr="006D45D5">
        <w:rPr>
          <w:sz w:val="24"/>
          <w:szCs w:val="24"/>
          <w:highlight w:val="white"/>
        </w:rPr>
        <w:t xml:space="preserve"> (</w:t>
      </w:r>
      <w:r w:rsidR="002F24DD" w:rsidRPr="00516A83">
        <w:rPr>
          <w:rFonts w:eastAsia="Arial"/>
          <w:sz w:val="24"/>
          <w:szCs w:val="24"/>
          <w:highlight w:val="white"/>
        </w:rPr>
        <w:t>DA SILVA BOUZAS</w:t>
      </w:r>
      <w:r w:rsidR="00FD6F3A" w:rsidRPr="006D45D5">
        <w:rPr>
          <w:sz w:val="24"/>
          <w:szCs w:val="24"/>
        </w:rPr>
        <w:t xml:space="preserve"> et al., 2014)</w:t>
      </w:r>
      <w:r w:rsidRPr="006D45D5">
        <w:rPr>
          <w:sz w:val="24"/>
          <w:szCs w:val="24"/>
          <w:highlight w:val="white"/>
        </w:rPr>
        <w:t xml:space="preserve">. </w:t>
      </w:r>
      <w:r w:rsidRPr="006D45D5">
        <w:rPr>
          <w:sz w:val="24"/>
          <w:szCs w:val="24"/>
        </w:rPr>
        <w:t>Nesse período a sexualidade manifesta-se em novas e surpreendentes necessidades e sensaçõ</w:t>
      </w:r>
      <w:r w:rsidRPr="006D45D5">
        <w:rPr>
          <w:sz w:val="24"/>
          <w:szCs w:val="24"/>
        </w:rPr>
        <w:t>es corporais, em desconhecidos desejos e na busca de relacionamento interpessoal, ocasionados pelas alterações hormonais da puberdade, sendo foco importante de preocupação e curiosidade para adolescentes de ambos os sexos (BRASIL, 2005), caso não ocorra a</w:t>
      </w:r>
      <w:r w:rsidR="001D10F2">
        <w:rPr>
          <w:sz w:val="24"/>
          <w:szCs w:val="24"/>
        </w:rPr>
        <w:t xml:space="preserve"> </w:t>
      </w:r>
      <w:r w:rsidRPr="006D45D5">
        <w:rPr>
          <w:sz w:val="24"/>
          <w:szCs w:val="24"/>
        </w:rPr>
        <w:t>orientação da família ou o descui</w:t>
      </w:r>
      <w:r w:rsidR="006D45D5">
        <w:rPr>
          <w:sz w:val="24"/>
          <w:szCs w:val="24"/>
        </w:rPr>
        <w:t>d</w:t>
      </w:r>
      <w:r w:rsidRPr="006D45D5">
        <w:rPr>
          <w:sz w:val="24"/>
          <w:szCs w:val="24"/>
        </w:rPr>
        <w:t xml:space="preserve">o durante as relações sexuais pode ocorrer a gestação que é considerada um </w:t>
      </w:r>
      <w:r w:rsidRPr="006D45D5">
        <w:rPr>
          <w:sz w:val="24"/>
          <w:szCs w:val="24"/>
          <w:highlight w:val="white"/>
        </w:rPr>
        <w:t>dentre os problemas de saúde durante essa faixa etária, destaca-se praticamente em todos os países principalmente aqueles que se encontram em desen</w:t>
      </w:r>
      <w:r w:rsidRPr="006D45D5">
        <w:rPr>
          <w:sz w:val="24"/>
          <w:szCs w:val="24"/>
          <w:highlight w:val="white"/>
        </w:rPr>
        <w:t>volvimento (</w:t>
      </w:r>
      <w:r w:rsidR="002F24DD" w:rsidRPr="00516A83">
        <w:rPr>
          <w:rFonts w:eastAsia="Arial"/>
          <w:sz w:val="24"/>
          <w:szCs w:val="24"/>
          <w:highlight w:val="white"/>
        </w:rPr>
        <w:t>DA SILVA BOUZAS</w:t>
      </w:r>
      <w:r w:rsidR="002F24DD">
        <w:rPr>
          <w:sz w:val="24"/>
          <w:szCs w:val="24"/>
        </w:rPr>
        <w:t xml:space="preserve"> </w:t>
      </w:r>
      <w:r w:rsidRPr="006D45D5">
        <w:rPr>
          <w:sz w:val="24"/>
          <w:szCs w:val="24"/>
        </w:rPr>
        <w:t>et al., 2014).</w:t>
      </w:r>
    </w:p>
    <w:p w14:paraId="234B6B22" w14:textId="5EC8420E" w:rsidR="00BB7796" w:rsidRPr="006D45D5" w:rsidRDefault="00205492">
      <w:pPr>
        <w:spacing w:line="360" w:lineRule="auto"/>
        <w:ind w:firstLine="720"/>
        <w:jc w:val="both"/>
        <w:rPr>
          <w:sz w:val="24"/>
          <w:szCs w:val="24"/>
        </w:rPr>
      </w:pPr>
      <w:r w:rsidRPr="006D45D5">
        <w:rPr>
          <w:sz w:val="24"/>
          <w:szCs w:val="24"/>
        </w:rPr>
        <w:t>Durante a gestação o organismo materno passa por muitas alterações ao longo dos meses, de modo que o principal objetivo é se adequar ás necessidades do complexo materno fetal e do parto (</w:t>
      </w:r>
      <w:r w:rsidR="005F28F1" w:rsidRPr="00516A83">
        <w:rPr>
          <w:sz w:val="24"/>
          <w:szCs w:val="24"/>
          <w:shd w:val="clear" w:color="auto" w:fill="FFFFFF"/>
        </w:rPr>
        <w:t>VASCONCELOS</w:t>
      </w:r>
      <w:r w:rsidR="00873DA8">
        <w:rPr>
          <w:sz w:val="24"/>
          <w:szCs w:val="24"/>
          <w:shd w:val="clear" w:color="auto" w:fill="FFFFFF"/>
        </w:rPr>
        <w:t xml:space="preserve"> </w:t>
      </w:r>
      <w:r w:rsidR="005F28F1" w:rsidRPr="00516A83">
        <w:rPr>
          <w:sz w:val="24"/>
          <w:szCs w:val="24"/>
          <w:shd w:val="clear" w:color="auto" w:fill="FFFFFF"/>
        </w:rPr>
        <w:t>et al</w:t>
      </w:r>
      <w:r w:rsidR="005F28F1">
        <w:rPr>
          <w:sz w:val="24"/>
          <w:szCs w:val="24"/>
          <w:shd w:val="clear" w:color="auto" w:fill="FFFFFF"/>
        </w:rPr>
        <w:t>.</w:t>
      </w:r>
      <w:r w:rsidR="001D10F2">
        <w:rPr>
          <w:sz w:val="24"/>
          <w:szCs w:val="24"/>
          <w:highlight w:val="white"/>
        </w:rPr>
        <w:t>,</w:t>
      </w:r>
      <w:r w:rsidRPr="006D45D5">
        <w:rPr>
          <w:sz w:val="24"/>
          <w:szCs w:val="24"/>
          <w:highlight w:val="white"/>
        </w:rPr>
        <w:t xml:space="preserve"> 2011</w:t>
      </w:r>
      <w:r w:rsidRPr="006D45D5">
        <w:rPr>
          <w:sz w:val="24"/>
          <w:szCs w:val="24"/>
        </w:rPr>
        <w:t>). Devi</w:t>
      </w:r>
      <w:r w:rsidRPr="006D45D5">
        <w:rPr>
          <w:sz w:val="24"/>
          <w:szCs w:val="24"/>
        </w:rPr>
        <w:t xml:space="preserve">do </w:t>
      </w:r>
      <w:r w:rsidR="001D10F2">
        <w:rPr>
          <w:sz w:val="24"/>
          <w:szCs w:val="24"/>
        </w:rPr>
        <w:t>à</w:t>
      </w:r>
      <w:r w:rsidRPr="006D45D5">
        <w:rPr>
          <w:sz w:val="24"/>
          <w:szCs w:val="24"/>
        </w:rPr>
        <w:t xml:space="preserve">s alterações alguns </w:t>
      </w:r>
      <w:r w:rsidR="001D10F2" w:rsidRPr="001D10F2">
        <w:rPr>
          <w:sz w:val="24"/>
          <w:szCs w:val="24"/>
          <w:shd w:val="clear" w:color="auto" w:fill="FFFFFF"/>
        </w:rPr>
        <w:t>intercorrências</w:t>
      </w:r>
      <w:r w:rsidR="001D10F2">
        <w:rPr>
          <w:rFonts w:ascii="Verdana" w:hAnsi="Verdana"/>
          <w:color w:val="444444"/>
          <w:sz w:val="27"/>
          <w:szCs w:val="27"/>
          <w:shd w:val="clear" w:color="auto" w:fill="FFFFFF"/>
        </w:rPr>
        <w:t xml:space="preserve"> </w:t>
      </w:r>
      <w:r w:rsidRPr="006D45D5">
        <w:rPr>
          <w:sz w:val="24"/>
          <w:szCs w:val="24"/>
        </w:rPr>
        <w:t>se tornam frequentes como vómitos, náuseas, fraqueza e constipação (A</w:t>
      </w:r>
      <w:r w:rsidR="005F28F1">
        <w:rPr>
          <w:sz w:val="24"/>
          <w:szCs w:val="24"/>
        </w:rPr>
        <w:t>CCIOLY</w:t>
      </w:r>
      <w:r w:rsidRPr="006D45D5">
        <w:rPr>
          <w:sz w:val="24"/>
          <w:szCs w:val="24"/>
        </w:rPr>
        <w:t xml:space="preserve"> et al</w:t>
      </w:r>
      <w:r w:rsidR="001D10F2">
        <w:rPr>
          <w:sz w:val="24"/>
          <w:szCs w:val="24"/>
        </w:rPr>
        <w:t>.,</w:t>
      </w:r>
      <w:r w:rsidRPr="006D45D5">
        <w:rPr>
          <w:sz w:val="24"/>
          <w:szCs w:val="24"/>
        </w:rPr>
        <w:t xml:space="preserve"> 2009). Em virtude dessa situação deve se atentar a assistência multiprofissional com o passar dos meses, visto que parte das gestaçõ</w:t>
      </w:r>
      <w:r w:rsidRPr="006D45D5">
        <w:rPr>
          <w:sz w:val="24"/>
          <w:szCs w:val="24"/>
        </w:rPr>
        <w:t xml:space="preserve">es </w:t>
      </w:r>
      <w:r w:rsidR="001D10F2">
        <w:rPr>
          <w:sz w:val="24"/>
          <w:szCs w:val="24"/>
        </w:rPr>
        <w:t xml:space="preserve">são vistas </w:t>
      </w:r>
      <w:r w:rsidRPr="006D45D5">
        <w:rPr>
          <w:sz w:val="24"/>
          <w:szCs w:val="24"/>
        </w:rPr>
        <w:t>de alto risco, evidenciando uma complicação materna preexistente ou situação que coloca em risco o feto (BRASIL, 200</w:t>
      </w:r>
      <w:r w:rsidR="00686848" w:rsidRPr="006D45D5">
        <w:rPr>
          <w:sz w:val="24"/>
          <w:szCs w:val="24"/>
        </w:rPr>
        <w:t>5</w:t>
      </w:r>
      <w:r w:rsidRPr="006D45D5">
        <w:rPr>
          <w:sz w:val="24"/>
          <w:szCs w:val="24"/>
        </w:rPr>
        <w:t>).</w:t>
      </w:r>
    </w:p>
    <w:p w14:paraId="1F59BB77" w14:textId="5A5C59C3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" w:firstLine="720"/>
        <w:jc w:val="both"/>
        <w:rPr>
          <w:sz w:val="24"/>
          <w:szCs w:val="24"/>
        </w:rPr>
      </w:pPr>
      <w:r w:rsidRPr="006D45D5">
        <w:rPr>
          <w:sz w:val="24"/>
          <w:szCs w:val="24"/>
        </w:rPr>
        <w:t xml:space="preserve">A avaliação nutricional tem como finalidade discernir distúrbios e riscos nutricionais mensurando a gravidade deles, </w:t>
      </w:r>
      <w:r w:rsidRPr="006D45D5">
        <w:rPr>
          <w:sz w:val="24"/>
          <w:szCs w:val="24"/>
        </w:rPr>
        <w:t>com o propósito de traçar condutas nutricionais que possibilitem a recuperação ou manutenção adequada do estado nutricional do paciente (</w:t>
      </w:r>
      <w:r w:rsidR="005F28F1" w:rsidRPr="00516A83">
        <w:rPr>
          <w:sz w:val="24"/>
          <w:szCs w:val="24"/>
          <w:shd w:val="clear" w:color="auto" w:fill="FFFFFF"/>
        </w:rPr>
        <w:t>DUCHINI, Lya et al</w:t>
      </w:r>
      <w:r w:rsidRPr="006D45D5">
        <w:rPr>
          <w:sz w:val="24"/>
          <w:szCs w:val="24"/>
        </w:rPr>
        <w:t>., 2010). Para avaliar o estado nutricional da gestante é recomendado efetuar a aferição do peso e esta</w:t>
      </w:r>
      <w:r w:rsidRPr="006D45D5">
        <w:rPr>
          <w:sz w:val="24"/>
          <w:szCs w:val="24"/>
        </w:rPr>
        <w:t>tura e realizar o cálculo da semana gestacional. Com isso determinar o estado nutricional de modo que possa ser classificado o IMC por semana gestacional, sendo capaz de ser classificado em baixo, peso, eutrofia ou adequado, sobrepeso e obesidade (WHO, 199</w:t>
      </w:r>
      <w:r w:rsidRPr="006D45D5">
        <w:rPr>
          <w:sz w:val="24"/>
          <w:szCs w:val="24"/>
        </w:rPr>
        <w:t>5).</w:t>
      </w:r>
    </w:p>
    <w:p w14:paraId="28C95879" w14:textId="6B9A742A" w:rsidR="009F10A9" w:rsidRPr="006D45D5" w:rsidRDefault="00205492" w:rsidP="00ED01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" w:firstLine="720"/>
        <w:jc w:val="both"/>
        <w:rPr>
          <w:sz w:val="24"/>
          <w:szCs w:val="24"/>
        </w:rPr>
      </w:pPr>
      <w:r w:rsidRPr="006D45D5">
        <w:rPr>
          <w:sz w:val="24"/>
          <w:szCs w:val="24"/>
        </w:rPr>
        <w:t>A escolha alimentar de um indivíduo está relacionada aos fatores do meio ambiente, história individual e personalidade refletida em valores pessoais (J</w:t>
      </w:r>
      <w:r w:rsidR="005F28F1">
        <w:rPr>
          <w:sz w:val="24"/>
          <w:szCs w:val="24"/>
        </w:rPr>
        <w:t>OMORI</w:t>
      </w:r>
      <w:r w:rsidRPr="006D45D5">
        <w:rPr>
          <w:sz w:val="24"/>
          <w:szCs w:val="24"/>
        </w:rPr>
        <w:t xml:space="preserve"> et al., 20</w:t>
      </w:r>
      <w:r w:rsidR="005F28F1">
        <w:rPr>
          <w:sz w:val="24"/>
          <w:szCs w:val="24"/>
        </w:rPr>
        <w:t>08</w:t>
      </w:r>
      <w:r w:rsidRPr="006D45D5">
        <w:rPr>
          <w:sz w:val="24"/>
          <w:szCs w:val="24"/>
        </w:rPr>
        <w:t>). A adolesc</w:t>
      </w:r>
      <w:r w:rsidR="001D10F2">
        <w:rPr>
          <w:sz w:val="24"/>
          <w:szCs w:val="24"/>
        </w:rPr>
        <w:t>ê</w:t>
      </w:r>
      <w:r w:rsidRPr="006D45D5">
        <w:rPr>
          <w:sz w:val="24"/>
          <w:szCs w:val="24"/>
        </w:rPr>
        <w:t>ncia é considerada o período da formação de opiniões sobre diversos as</w:t>
      </w:r>
      <w:r w:rsidRPr="006D45D5">
        <w:rPr>
          <w:sz w:val="24"/>
          <w:szCs w:val="24"/>
        </w:rPr>
        <w:t>suntos com isso diversos fatores podem influenciar os hábitos e comportamentos alimentares como: a instabilidade emocional, o desejo do emagrecimento e a instabilidade geral do estilo de vida ditados pelos padrões comportamentais (R</w:t>
      </w:r>
      <w:r w:rsidR="00ED0107">
        <w:rPr>
          <w:sz w:val="24"/>
          <w:szCs w:val="24"/>
        </w:rPr>
        <w:t>IBEIRO</w:t>
      </w:r>
      <w:r w:rsidRPr="006D45D5">
        <w:rPr>
          <w:sz w:val="24"/>
          <w:szCs w:val="24"/>
        </w:rPr>
        <w:t>, 2013).</w:t>
      </w:r>
    </w:p>
    <w:p w14:paraId="5F96050D" w14:textId="77777777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" w:firstLine="720"/>
        <w:jc w:val="both"/>
        <w:rPr>
          <w:sz w:val="24"/>
          <w:szCs w:val="24"/>
        </w:rPr>
      </w:pPr>
      <w:r w:rsidRPr="006D45D5">
        <w:rPr>
          <w:sz w:val="24"/>
          <w:szCs w:val="24"/>
        </w:rPr>
        <w:lastRenderedPageBreak/>
        <w:t>Sendo as</w:t>
      </w:r>
      <w:r w:rsidRPr="006D45D5">
        <w:rPr>
          <w:sz w:val="24"/>
          <w:szCs w:val="24"/>
        </w:rPr>
        <w:t>sim esse trabalho objetiva identificar o estado nutricional e as práticas alimentares de gestantes adolescentes no território nacional em 2021.</w:t>
      </w:r>
    </w:p>
    <w:p w14:paraId="194CBEC2" w14:textId="77777777" w:rsidR="00BB7796" w:rsidRPr="006D45D5" w:rsidRDefault="00205492">
      <w:pPr>
        <w:spacing w:line="360" w:lineRule="auto"/>
        <w:ind w:firstLine="720"/>
        <w:jc w:val="both"/>
        <w:rPr>
          <w:sz w:val="24"/>
          <w:szCs w:val="24"/>
        </w:rPr>
      </w:pPr>
      <w:r w:rsidRPr="006D45D5">
        <w:rPr>
          <w:sz w:val="24"/>
          <w:szCs w:val="24"/>
        </w:rPr>
        <w:t xml:space="preserve"> </w:t>
      </w:r>
    </w:p>
    <w:p w14:paraId="303ED5B2" w14:textId="77777777" w:rsidR="00BB7796" w:rsidRPr="006D45D5" w:rsidRDefault="00205492">
      <w:pPr>
        <w:spacing w:line="360" w:lineRule="auto"/>
        <w:jc w:val="both"/>
        <w:rPr>
          <w:b/>
          <w:sz w:val="24"/>
          <w:szCs w:val="24"/>
        </w:rPr>
      </w:pPr>
      <w:r w:rsidRPr="006D45D5">
        <w:rPr>
          <w:b/>
          <w:sz w:val="24"/>
          <w:szCs w:val="24"/>
        </w:rPr>
        <w:t>2 MÉTODO</w:t>
      </w:r>
    </w:p>
    <w:p w14:paraId="7598D07F" w14:textId="77777777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6D45D5">
        <w:rPr>
          <w:sz w:val="24"/>
          <w:szCs w:val="24"/>
        </w:rPr>
        <w:t>Trata-se de um estudo epidemiológico, retrospectivo e descritivo, onde foi analisado o estado nutrici</w:t>
      </w:r>
      <w:r w:rsidRPr="006D45D5">
        <w:rPr>
          <w:sz w:val="24"/>
          <w:szCs w:val="24"/>
        </w:rPr>
        <w:t>onal e consumo alimentar de gestantes adolescentes atendidas através da atenção básico no ano de 2021, acompanhadas pelo Sistema de Vigilância Alimentar e Nutricional (SISVAN), em todo território nacional.</w:t>
      </w:r>
    </w:p>
    <w:p w14:paraId="0283993E" w14:textId="4F608FD9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6D45D5">
        <w:rPr>
          <w:sz w:val="24"/>
          <w:szCs w:val="24"/>
        </w:rPr>
        <w:t xml:space="preserve">A coleta de dados foi realizada </w:t>
      </w:r>
      <w:r w:rsidR="00F66316">
        <w:rPr>
          <w:sz w:val="24"/>
          <w:szCs w:val="24"/>
        </w:rPr>
        <w:t>através</w:t>
      </w:r>
      <w:r w:rsidRPr="006D45D5">
        <w:rPr>
          <w:sz w:val="24"/>
          <w:szCs w:val="24"/>
        </w:rPr>
        <w:t xml:space="preserve"> de dados s</w:t>
      </w:r>
      <w:r w:rsidRPr="006D45D5">
        <w:rPr>
          <w:sz w:val="24"/>
          <w:szCs w:val="24"/>
        </w:rPr>
        <w:t>ecundários fornecido através plataforma SISVAN Web, tendo como o objetivo de fornecer informações contínua e atualizada através de registro de dados antropométricos e marcadores de consumo alimentar gerando relatórios que podem ser acessados no módulo rest</w:t>
      </w:r>
      <w:r w:rsidRPr="006D45D5">
        <w:rPr>
          <w:sz w:val="24"/>
          <w:szCs w:val="24"/>
        </w:rPr>
        <w:t xml:space="preserve">rito e módulo público (BRASIL, 2015). </w:t>
      </w:r>
    </w:p>
    <w:p w14:paraId="0D9A91CE" w14:textId="602E090D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6D45D5">
        <w:rPr>
          <w:sz w:val="24"/>
          <w:szCs w:val="24"/>
        </w:rPr>
        <w:t>Para an</w:t>
      </w:r>
      <w:r w:rsidR="00F66316">
        <w:rPr>
          <w:sz w:val="24"/>
          <w:szCs w:val="24"/>
        </w:rPr>
        <w:t>alisar</w:t>
      </w:r>
      <w:r w:rsidRPr="006D45D5">
        <w:rPr>
          <w:sz w:val="24"/>
          <w:szCs w:val="24"/>
        </w:rPr>
        <w:t xml:space="preserve"> o estado nutricional foi utilizado a relação Indíce de Massa Corporal (IMC) com a semana gestacional, onde determinara a adequação de peso durante a gestação, em que pode ser classificado em baixo peso, adequado ou eutrófico, sobrepeso e obesidade. No que</w:t>
      </w:r>
      <w:r w:rsidRPr="006D45D5">
        <w:rPr>
          <w:sz w:val="24"/>
          <w:szCs w:val="24"/>
        </w:rPr>
        <w:t xml:space="preserve"> se refere ao as práticas alimentares foram utilizados os marcadores de consumo alimentar onde possui o objetivo de identificar os alimentos perdominan</w:t>
      </w:r>
      <w:r w:rsidR="00F66316">
        <w:rPr>
          <w:sz w:val="24"/>
          <w:szCs w:val="24"/>
        </w:rPr>
        <w:t>tes</w:t>
      </w:r>
      <w:r w:rsidRPr="006D45D5">
        <w:rPr>
          <w:sz w:val="24"/>
          <w:szCs w:val="24"/>
        </w:rPr>
        <w:t xml:space="preserve"> na alimentação da gestante, que se refere a refeição consumida um dia antes da avaliação. Os marcador</w:t>
      </w:r>
      <w:r w:rsidRPr="006D45D5">
        <w:rPr>
          <w:sz w:val="24"/>
          <w:szCs w:val="24"/>
        </w:rPr>
        <w:t>es utilizados foram consumo de frutas, consumo de legumes</w:t>
      </w:r>
      <w:r w:rsidR="00F66316">
        <w:rPr>
          <w:sz w:val="24"/>
          <w:szCs w:val="24"/>
        </w:rPr>
        <w:t xml:space="preserve">, </w:t>
      </w:r>
      <w:r w:rsidRPr="006D45D5">
        <w:rPr>
          <w:sz w:val="24"/>
          <w:szCs w:val="24"/>
        </w:rPr>
        <w:t>verduras</w:t>
      </w:r>
      <w:r w:rsidR="00F66316">
        <w:rPr>
          <w:sz w:val="24"/>
          <w:szCs w:val="24"/>
        </w:rPr>
        <w:t xml:space="preserve">, </w:t>
      </w:r>
      <w:r w:rsidRPr="006D45D5">
        <w:rPr>
          <w:sz w:val="24"/>
          <w:szCs w:val="24"/>
        </w:rPr>
        <w:t>consumo de alimentos ultraprocessados, consumo de bebidas adoçadas, consumo de macarrão instantâneo, salgadinho de pacote ou biscoito salgado e consumo de biscoito recheado, doces ou gulo</w:t>
      </w:r>
      <w:r w:rsidRPr="006D45D5">
        <w:rPr>
          <w:sz w:val="24"/>
          <w:szCs w:val="24"/>
        </w:rPr>
        <w:t>seimas.</w:t>
      </w:r>
    </w:p>
    <w:p w14:paraId="7DD83ABD" w14:textId="77777777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6D45D5">
        <w:rPr>
          <w:sz w:val="24"/>
          <w:szCs w:val="24"/>
        </w:rPr>
        <w:t xml:space="preserve">Foram acompanhadas na atenção básica durante 2021 cerca de 494.378 gestantes adolescentes mas, somente 11.317 através do SISVAN e dentre elas apenas 2.382 responderam o questionário de marcadores de consumo alimentar. </w:t>
      </w:r>
    </w:p>
    <w:p w14:paraId="6B5270A0" w14:textId="77777777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sz w:val="24"/>
          <w:szCs w:val="24"/>
        </w:rPr>
      </w:pPr>
      <w:r w:rsidRPr="006D45D5">
        <w:rPr>
          <w:b/>
          <w:sz w:val="24"/>
          <w:szCs w:val="24"/>
        </w:rPr>
        <w:tab/>
      </w:r>
    </w:p>
    <w:p w14:paraId="54B78FA7" w14:textId="77777777" w:rsidR="00BB7796" w:rsidRPr="006D45D5" w:rsidRDefault="00205492">
      <w:pPr>
        <w:spacing w:line="360" w:lineRule="auto"/>
        <w:jc w:val="both"/>
        <w:rPr>
          <w:b/>
          <w:sz w:val="24"/>
          <w:szCs w:val="24"/>
        </w:rPr>
      </w:pPr>
      <w:r w:rsidRPr="006D45D5">
        <w:rPr>
          <w:b/>
          <w:sz w:val="24"/>
          <w:szCs w:val="24"/>
        </w:rPr>
        <w:t>3 RESULTADOS E DISCUSSÃO</w:t>
      </w:r>
    </w:p>
    <w:p w14:paraId="210ED84E" w14:textId="4F4C9025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6D45D5">
        <w:rPr>
          <w:sz w:val="24"/>
          <w:szCs w:val="24"/>
        </w:rPr>
        <w:t xml:space="preserve"> O</w:t>
      </w:r>
      <w:r w:rsidRPr="006D45D5">
        <w:rPr>
          <w:sz w:val="24"/>
          <w:szCs w:val="24"/>
        </w:rPr>
        <w:t>s dados coletados estabe</w:t>
      </w:r>
      <w:r w:rsidR="00F66316">
        <w:rPr>
          <w:sz w:val="24"/>
          <w:szCs w:val="24"/>
        </w:rPr>
        <w:t>lecem</w:t>
      </w:r>
      <w:r w:rsidRPr="006D45D5">
        <w:rPr>
          <w:sz w:val="24"/>
          <w:szCs w:val="24"/>
        </w:rPr>
        <w:t xml:space="preserve"> referênc</w:t>
      </w:r>
      <w:r w:rsidR="00F66316">
        <w:rPr>
          <w:sz w:val="24"/>
          <w:szCs w:val="24"/>
        </w:rPr>
        <w:t>i</w:t>
      </w:r>
      <w:r w:rsidRPr="006D45D5">
        <w:rPr>
          <w:sz w:val="24"/>
          <w:szCs w:val="24"/>
        </w:rPr>
        <w:t>a a gestantes adolescentes do Brasil com dados registrados no Sistema de Vigilância Alimentar e Nutricional (SISVAN), totalizando 11.317 gestantes avaliando o estado nutricional. Quanto a avaliação do consumo alimenta</w:t>
      </w:r>
      <w:r w:rsidRPr="006D45D5">
        <w:rPr>
          <w:sz w:val="24"/>
          <w:szCs w:val="24"/>
        </w:rPr>
        <w:t>r foram apenas avaliadas 2.382 representando 21% das gestantes cadastradas. Percebe-se que dentre as gestantes houve uma quantidade maior aquelas que se encontram com o IMC adequado de acordo com a semana gestacional (39.33%), em seguida com 29.29%</w:t>
      </w:r>
      <w:r w:rsidR="00F66316">
        <w:rPr>
          <w:sz w:val="24"/>
          <w:szCs w:val="24"/>
        </w:rPr>
        <w:t xml:space="preserve"> </w:t>
      </w:r>
      <w:r w:rsidRPr="006D45D5">
        <w:rPr>
          <w:sz w:val="24"/>
          <w:szCs w:val="24"/>
        </w:rPr>
        <w:t>baixo p</w:t>
      </w:r>
      <w:r w:rsidRPr="006D45D5">
        <w:rPr>
          <w:sz w:val="24"/>
          <w:szCs w:val="24"/>
        </w:rPr>
        <w:t xml:space="preserve">eso, sobrepeso com 19.6% e com menor frequência obesidade (11.78%)(tabela 1). </w:t>
      </w:r>
    </w:p>
    <w:p w14:paraId="518CEB9F" w14:textId="77777777" w:rsidR="00BB7796" w:rsidRPr="006D45D5" w:rsidRDefault="00BB77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263810F3" w14:textId="77777777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6D45D5">
        <w:rPr>
          <w:b/>
          <w:sz w:val="24"/>
          <w:szCs w:val="24"/>
        </w:rPr>
        <w:lastRenderedPageBreak/>
        <w:t>Tabela 1</w:t>
      </w:r>
      <w:r w:rsidRPr="006D45D5">
        <w:rPr>
          <w:sz w:val="24"/>
          <w:szCs w:val="24"/>
        </w:rPr>
        <w:t xml:space="preserve"> – Estado nutricional de gestantes adolescentes cadastradas no SISVAN em 2021.</w:t>
      </w:r>
    </w:p>
    <w:tbl>
      <w:tblPr>
        <w:tblStyle w:val="a"/>
        <w:tblW w:w="5000" w:type="pct"/>
        <w:tblBorders>
          <w:top w:val="single" w:sz="4" w:space="0" w:color="7F7F7F"/>
          <w:left w:val="single" w:sz="4" w:space="0" w:color="B2A1C7"/>
          <w:bottom w:val="single" w:sz="4" w:space="0" w:color="7F7F7F"/>
          <w:right w:val="single" w:sz="4" w:space="0" w:color="B2A1C7"/>
          <w:insideH w:val="single" w:sz="4" w:space="0" w:color="B2A1C7"/>
          <w:insideV w:val="single" w:sz="4" w:space="0" w:color="B2A1C7"/>
        </w:tblBorders>
        <w:tblLook w:val="04A0" w:firstRow="1" w:lastRow="0" w:firstColumn="1" w:lastColumn="0" w:noHBand="0" w:noVBand="1"/>
      </w:tblPr>
      <w:tblGrid>
        <w:gridCol w:w="1256"/>
        <w:gridCol w:w="839"/>
        <w:gridCol w:w="1187"/>
        <w:gridCol w:w="998"/>
        <w:gridCol w:w="1563"/>
        <w:gridCol w:w="858"/>
        <w:gridCol w:w="1535"/>
        <w:gridCol w:w="839"/>
      </w:tblGrid>
      <w:tr w:rsidR="006D45D5" w:rsidRPr="006D45D5" w14:paraId="1DFE2173" w14:textId="77777777" w:rsidTr="00380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4FEEFA1E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IMC por semana gestacional</w:t>
            </w:r>
          </w:p>
        </w:tc>
      </w:tr>
      <w:tr w:rsidR="006D45D5" w:rsidRPr="006D45D5" w14:paraId="40F9E9A7" w14:textId="77777777" w:rsidTr="0038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pct"/>
            <w:gridSpan w:val="2"/>
          </w:tcPr>
          <w:p w14:paraId="3955F65E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Baixo peso</w:t>
            </w:r>
          </w:p>
        </w:tc>
        <w:tc>
          <w:tcPr>
            <w:tcW w:w="1204" w:type="pct"/>
            <w:gridSpan w:val="2"/>
          </w:tcPr>
          <w:p w14:paraId="31D959D4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5D5">
              <w:rPr>
                <w:b/>
                <w:sz w:val="20"/>
                <w:szCs w:val="20"/>
              </w:rPr>
              <w:t>Adequado ou Eutrófico</w:t>
            </w:r>
          </w:p>
        </w:tc>
        <w:tc>
          <w:tcPr>
            <w:tcW w:w="1334" w:type="pct"/>
            <w:gridSpan w:val="2"/>
          </w:tcPr>
          <w:p w14:paraId="7A57E025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5D5">
              <w:rPr>
                <w:b/>
                <w:sz w:val="20"/>
                <w:szCs w:val="20"/>
              </w:rPr>
              <w:t>Sobrepeso</w:t>
            </w:r>
          </w:p>
        </w:tc>
        <w:tc>
          <w:tcPr>
            <w:tcW w:w="1308" w:type="pct"/>
            <w:gridSpan w:val="2"/>
          </w:tcPr>
          <w:p w14:paraId="183EEC3F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45D5">
              <w:rPr>
                <w:b/>
                <w:sz w:val="20"/>
                <w:szCs w:val="20"/>
              </w:rPr>
              <w:t>Obesidade</w:t>
            </w:r>
          </w:p>
        </w:tc>
      </w:tr>
      <w:tr w:rsidR="006D45D5" w:rsidRPr="006D45D5" w14:paraId="428E2509" w14:textId="77777777" w:rsidTr="003802B5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4E85916C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Quantidade</w:t>
            </w:r>
          </w:p>
        </w:tc>
        <w:tc>
          <w:tcPr>
            <w:tcW w:w="462" w:type="pct"/>
          </w:tcPr>
          <w:p w14:paraId="7528A955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%</w:t>
            </w:r>
          </w:p>
        </w:tc>
        <w:tc>
          <w:tcPr>
            <w:tcW w:w="654" w:type="pct"/>
          </w:tcPr>
          <w:p w14:paraId="33F51E90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Quantidade</w:t>
            </w:r>
          </w:p>
        </w:tc>
        <w:tc>
          <w:tcPr>
            <w:tcW w:w="550" w:type="pct"/>
          </w:tcPr>
          <w:p w14:paraId="5DA23761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%</w:t>
            </w:r>
          </w:p>
        </w:tc>
        <w:tc>
          <w:tcPr>
            <w:tcW w:w="861" w:type="pct"/>
          </w:tcPr>
          <w:p w14:paraId="33335F81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Quantidade</w:t>
            </w:r>
          </w:p>
        </w:tc>
        <w:tc>
          <w:tcPr>
            <w:tcW w:w="473" w:type="pct"/>
          </w:tcPr>
          <w:p w14:paraId="54E3947B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%</w:t>
            </w:r>
          </w:p>
        </w:tc>
        <w:tc>
          <w:tcPr>
            <w:tcW w:w="846" w:type="pct"/>
          </w:tcPr>
          <w:p w14:paraId="39C40A80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Quantidade</w:t>
            </w:r>
          </w:p>
        </w:tc>
        <w:tc>
          <w:tcPr>
            <w:tcW w:w="462" w:type="pct"/>
          </w:tcPr>
          <w:p w14:paraId="30D3A5D8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%</w:t>
            </w:r>
          </w:p>
        </w:tc>
      </w:tr>
      <w:tr w:rsidR="006D45D5" w:rsidRPr="006D45D5" w14:paraId="72C3E126" w14:textId="77777777" w:rsidTr="0038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</w:tcPr>
          <w:p w14:paraId="622FB4BE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rPr>
                <w:sz w:val="20"/>
                <w:szCs w:val="20"/>
              </w:rPr>
            </w:pPr>
            <w:r w:rsidRPr="006D45D5">
              <w:rPr>
                <w:b w:val="0"/>
                <w:sz w:val="20"/>
                <w:szCs w:val="20"/>
              </w:rPr>
              <w:t>3.315</w:t>
            </w:r>
          </w:p>
        </w:tc>
        <w:tc>
          <w:tcPr>
            <w:tcW w:w="462" w:type="pct"/>
          </w:tcPr>
          <w:p w14:paraId="5B35BB22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29.29</w:t>
            </w:r>
          </w:p>
        </w:tc>
        <w:tc>
          <w:tcPr>
            <w:tcW w:w="654" w:type="pct"/>
          </w:tcPr>
          <w:p w14:paraId="3758E696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4.451</w:t>
            </w:r>
          </w:p>
        </w:tc>
        <w:tc>
          <w:tcPr>
            <w:tcW w:w="550" w:type="pct"/>
          </w:tcPr>
          <w:p w14:paraId="6892DD29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39.33</w:t>
            </w:r>
          </w:p>
        </w:tc>
        <w:tc>
          <w:tcPr>
            <w:tcW w:w="861" w:type="pct"/>
          </w:tcPr>
          <w:p w14:paraId="653B5179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2.218</w:t>
            </w:r>
          </w:p>
        </w:tc>
        <w:tc>
          <w:tcPr>
            <w:tcW w:w="473" w:type="pct"/>
          </w:tcPr>
          <w:p w14:paraId="2FB17828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19.6</w:t>
            </w:r>
          </w:p>
        </w:tc>
        <w:tc>
          <w:tcPr>
            <w:tcW w:w="846" w:type="pct"/>
          </w:tcPr>
          <w:p w14:paraId="465B7145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1.333</w:t>
            </w:r>
          </w:p>
        </w:tc>
        <w:tc>
          <w:tcPr>
            <w:tcW w:w="462" w:type="pct"/>
          </w:tcPr>
          <w:p w14:paraId="3D153CA2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11.78</w:t>
            </w:r>
          </w:p>
        </w:tc>
      </w:tr>
    </w:tbl>
    <w:p w14:paraId="5FA167E3" w14:textId="77777777" w:rsidR="00BB7796" w:rsidRPr="006D45D5" w:rsidRDefault="00BB77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4E1B5DAF" w14:textId="4CAD2B20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6D45D5">
        <w:rPr>
          <w:sz w:val="24"/>
          <w:szCs w:val="24"/>
        </w:rPr>
        <w:t xml:space="preserve"> Pode-se constatar que a maior parte das gestantes se encontra em eutr</w:t>
      </w:r>
      <w:r w:rsidR="00A972F2">
        <w:rPr>
          <w:sz w:val="24"/>
          <w:szCs w:val="24"/>
        </w:rPr>
        <w:t>o</w:t>
      </w:r>
      <w:r w:rsidRPr="006D45D5">
        <w:rPr>
          <w:sz w:val="24"/>
          <w:szCs w:val="24"/>
        </w:rPr>
        <w:t xml:space="preserve">fia, demonstrando que o acompanhamento pré-gestacional e gestacionais são </w:t>
      </w:r>
      <w:r w:rsidRPr="006D45D5">
        <w:rPr>
          <w:sz w:val="24"/>
          <w:szCs w:val="24"/>
        </w:rPr>
        <w:t>fundamentais durante esse período, mas se torna preocupante pois</w:t>
      </w:r>
      <w:r w:rsidR="00A972F2">
        <w:rPr>
          <w:sz w:val="24"/>
          <w:szCs w:val="24"/>
        </w:rPr>
        <w:t>,</w:t>
      </w:r>
      <w:r w:rsidRPr="006D45D5">
        <w:rPr>
          <w:sz w:val="24"/>
          <w:szCs w:val="24"/>
        </w:rPr>
        <w:t xml:space="preserve"> em seguida se encontram aquelas em baixo peso no decorrer da gestação podendo ter o risco durante esse período a desnutrição, deficiências nutricionais, anemia e retardo do crescimento intra</w:t>
      </w:r>
      <w:r w:rsidRPr="006D45D5">
        <w:rPr>
          <w:sz w:val="24"/>
          <w:szCs w:val="24"/>
        </w:rPr>
        <w:t>-uterino, ocasionando aumento dos índices de prematuridade, baixo peso ao nascer e desnutrição pós-parto (</w:t>
      </w:r>
      <w:r w:rsidR="00FD6F3A" w:rsidRPr="006D45D5">
        <w:rPr>
          <w:sz w:val="24"/>
          <w:szCs w:val="24"/>
        </w:rPr>
        <w:t>BRASIL, 2013</w:t>
      </w:r>
      <w:r w:rsidRPr="006D45D5">
        <w:rPr>
          <w:sz w:val="24"/>
          <w:szCs w:val="24"/>
        </w:rPr>
        <w:t>), mas mesmo com esse resultado estudo demonstra que o peso do recém nascido pode aumentar com a adequação do ganho de peso durante a gest</w:t>
      </w:r>
      <w:r w:rsidRPr="006D45D5">
        <w:rPr>
          <w:sz w:val="24"/>
          <w:szCs w:val="24"/>
        </w:rPr>
        <w:t>ação (</w:t>
      </w:r>
      <w:r w:rsidRPr="006D45D5">
        <w:rPr>
          <w:sz w:val="24"/>
          <w:szCs w:val="24"/>
          <w:highlight w:val="white"/>
        </w:rPr>
        <w:t>G</w:t>
      </w:r>
      <w:r w:rsidR="00ED0107">
        <w:rPr>
          <w:sz w:val="24"/>
          <w:szCs w:val="24"/>
          <w:highlight w:val="white"/>
        </w:rPr>
        <w:t>UERRA</w:t>
      </w:r>
      <w:r w:rsidRPr="006D45D5">
        <w:rPr>
          <w:sz w:val="24"/>
          <w:szCs w:val="24"/>
          <w:highlight w:val="white"/>
        </w:rPr>
        <w:t xml:space="preserve"> et al., 2007).</w:t>
      </w:r>
    </w:p>
    <w:p w14:paraId="0AE5E3D6" w14:textId="42B2136B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6D45D5">
        <w:rPr>
          <w:sz w:val="24"/>
          <w:szCs w:val="24"/>
        </w:rPr>
        <w:t>A assistência nutricional nesse período possui objetivo de tratar nutricionalmente os desvios ponderais e as doenças comuns do período, i</w:t>
      </w:r>
      <w:r w:rsidR="00A972F2">
        <w:rPr>
          <w:sz w:val="24"/>
          <w:szCs w:val="24"/>
        </w:rPr>
        <w:t>n</w:t>
      </w:r>
      <w:r w:rsidRPr="006D45D5">
        <w:rPr>
          <w:sz w:val="24"/>
          <w:szCs w:val="24"/>
        </w:rPr>
        <w:t>centivando o aleitamento materno e promovendo atividade que di</w:t>
      </w:r>
      <w:r w:rsidR="00A972F2">
        <w:rPr>
          <w:sz w:val="24"/>
          <w:szCs w:val="24"/>
        </w:rPr>
        <w:t>z</w:t>
      </w:r>
      <w:r w:rsidRPr="006D45D5">
        <w:rPr>
          <w:sz w:val="24"/>
          <w:szCs w:val="24"/>
        </w:rPr>
        <w:t>em a melhoria do estado nut</w:t>
      </w:r>
      <w:r w:rsidRPr="006D45D5">
        <w:rPr>
          <w:sz w:val="24"/>
          <w:szCs w:val="24"/>
        </w:rPr>
        <w:t>ricional (R</w:t>
      </w:r>
      <w:r w:rsidR="00ED0107">
        <w:rPr>
          <w:sz w:val="24"/>
          <w:szCs w:val="24"/>
        </w:rPr>
        <w:t>OSSI</w:t>
      </w:r>
      <w:r w:rsidRPr="006D45D5">
        <w:rPr>
          <w:sz w:val="24"/>
          <w:szCs w:val="24"/>
        </w:rPr>
        <w:t xml:space="preserve"> et al., 2015).</w:t>
      </w:r>
    </w:p>
    <w:p w14:paraId="30623361" w14:textId="4EB6A085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6D45D5">
        <w:rPr>
          <w:sz w:val="24"/>
          <w:szCs w:val="24"/>
        </w:rPr>
        <w:t>Os dados inseridos na tabela 2 demonstram os alimentos mais consumidos pelas gestantes e com isso podendo caracterizar o perfil alimentar. Os alimentos mais consumidos entre elas foram os alimentos ultraprocessador (85%)</w:t>
      </w:r>
      <w:r w:rsidR="00A972F2">
        <w:rPr>
          <w:sz w:val="24"/>
          <w:szCs w:val="24"/>
        </w:rPr>
        <w:t xml:space="preserve"> sendo </w:t>
      </w:r>
      <w:r w:rsidRPr="006D45D5">
        <w:rPr>
          <w:sz w:val="24"/>
          <w:szCs w:val="24"/>
        </w:rPr>
        <w:t>formulações industriais realizadas totalmente ou maioritariamente de substâncias extraídas de alimentos como óleos, gorduras, açúcar e amido, proveniente de constituintes de alimentos tendo como exemplos as</w:t>
      </w:r>
      <w:r w:rsidR="00A972F2">
        <w:rPr>
          <w:sz w:val="24"/>
          <w:szCs w:val="24"/>
        </w:rPr>
        <w:t xml:space="preserve"> </w:t>
      </w:r>
      <w:r w:rsidRPr="006D45D5">
        <w:rPr>
          <w:sz w:val="24"/>
          <w:szCs w:val="24"/>
        </w:rPr>
        <w:t>gorduras hidrogenadas e amido modificado (BRASI</w:t>
      </w:r>
      <w:r w:rsidRPr="006D45D5">
        <w:rPr>
          <w:sz w:val="24"/>
          <w:szCs w:val="24"/>
        </w:rPr>
        <w:t>L, 2014), em seguida com frequência semelhante o consumo de frutas (69%)</w:t>
      </w:r>
      <w:r w:rsidR="00A972F2">
        <w:rPr>
          <w:sz w:val="24"/>
          <w:szCs w:val="24"/>
        </w:rPr>
        <w:t xml:space="preserve">, </w:t>
      </w:r>
      <w:r w:rsidRPr="006D45D5">
        <w:rPr>
          <w:sz w:val="24"/>
          <w:szCs w:val="24"/>
        </w:rPr>
        <w:t xml:space="preserve">verduras e legumes (65%), a seguir vem o consumo de bebidas adoçadas (63%) e com menor frequência alimentos como </w:t>
      </w:r>
      <w:r w:rsidRPr="006D45D5">
        <w:rPr>
          <w:sz w:val="24"/>
          <w:szCs w:val="24"/>
          <w:highlight w:val="white"/>
        </w:rPr>
        <w:t xml:space="preserve">biscoito recheado, doces ou guloseimas (48%) e macarrão instantâneo, </w:t>
      </w:r>
      <w:r w:rsidRPr="006D45D5">
        <w:rPr>
          <w:sz w:val="24"/>
          <w:szCs w:val="24"/>
          <w:highlight w:val="white"/>
        </w:rPr>
        <w:t>salgadinho de pacote ou biscoito salgado (44%). Observou-se que as gestantes apresentam consumo insuficiente de alguns alimentos durante esse período isso deve-se o processo de transição alimentar e nutricional global e demostrou a predomin</w:t>
      </w:r>
      <w:r w:rsidR="00A972F2">
        <w:rPr>
          <w:sz w:val="24"/>
          <w:szCs w:val="24"/>
          <w:highlight w:val="white"/>
        </w:rPr>
        <w:t>â</w:t>
      </w:r>
      <w:r w:rsidRPr="006D45D5">
        <w:rPr>
          <w:sz w:val="24"/>
          <w:szCs w:val="24"/>
          <w:highlight w:val="white"/>
        </w:rPr>
        <w:t>ncia para a con</w:t>
      </w:r>
      <w:r w:rsidRPr="006D45D5">
        <w:rPr>
          <w:sz w:val="24"/>
          <w:szCs w:val="24"/>
          <w:highlight w:val="white"/>
        </w:rPr>
        <w:t>tribuição energética o consumo de alimentos ultraprocessados e a redução de alimentos in natura ou minimamente processados (</w:t>
      </w:r>
      <w:r w:rsidRPr="006D45D5">
        <w:rPr>
          <w:sz w:val="24"/>
          <w:szCs w:val="24"/>
        </w:rPr>
        <w:t>M</w:t>
      </w:r>
      <w:r w:rsidR="00ED0107">
        <w:rPr>
          <w:sz w:val="24"/>
          <w:szCs w:val="24"/>
        </w:rPr>
        <w:t xml:space="preserve">ONTEIRO </w:t>
      </w:r>
      <w:r w:rsidRPr="006D45D5">
        <w:rPr>
          <w:sz w:val="24"/>
          <w:szCs w:val="24"/>
        </w:rPr>
        <w:t>et al., 2019; A</w:t>
      </w:r>
      <w:r w:rsidR="00ED0107">
        <w:rPr>
          <w:sz w:val="24"/>
          <w:szCs w:val="24"/>
        </w:rPr>
        <w:t>LVES</w:t>
      </w:r>
      <w:r w:rsidRPr="006D45D5">
        <w:rPr>
          <w:sz w:val="24"/>
          <w:szCs w:val="24"/>
        </w:rPr>
        <w:t xml:space="preserve"> et al., 2016; M</w:t>
      </w:r>
      <w:r w:rsidR="00ED0107">
        <w:rPr>
          <w:sz w:val="24"/>
          <w:szCs w:val="24"/>
        </w:rPr>
        <w:t>ARTINS</w:t>
      </w:r>
      <w:r w:rsidRPr="006D45D5">
        <w:rPr>
          <w:sz w:val="24"/>
          <w:szCs w:val="24"/>
        </w:rPr>
        <w:t xml:space="preserve"> et al., 2013). </w:t>
      </w:r>
    </w:p>
    <w:p w14:paraId="4259D147" w14:textId="4F53EFC0" w:rsidR="00BB7796" w:rsidRPr="006D45D5" w:rsidRDefault="00BB77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highlight w:val="white"/>
        </w:rPr>
      </w:pPr>
    </w:p>
    <w:p w14:paraId="622171C3" w14:textId="38163DF3" w:rsidR="009F10A9" w:rsidRPr="006D45D5" w:rsidRDefault="009F1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highlight w:val="white"/>
        </w:rPr>
      </w:pPr>
    </w:p>
    <w:p w14:paraId="485373A3" w14:textId="77777777" w:rsidR="009F10A9" w:rsidRPr="006D45D5" w:rsidRDefault="009F10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highlight w:val="white"/>
        </w:rPr>
      </w:pPr>
    </w:p>
    <w:p w14:paraId="0ABE5DBF" w14:textId="77777777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highlight w:val="white"/>
        </w:rPr>
      </w:pPr>
      <w:r w:rsidRPr="006D45D5">
        <w:rPr>
          <w:b/>
          <w:sz w:val="24"/>
          <w:szCs w:val="24"/>
          <w:highlight w:val="white"/>
        </w:rPr>
        <w:t>Tabela 2</w:t>
      </w:r>
      <w:r w:rsidRPr="006D45D5">
        <w:rPr>
          <w:sz w:val="24"/>
          <w:szCs w:val="24"/>
          <w:highlight w:val="white"/>
        </w:rPr>
        <w:t xml:space="preserve"> - </w:t>
      </w:r>
      <w:r w:rsidRPr="006D45D5">
        <w:rPr>
          <w:sz w:val="24"/>
          <w:szCs w:val="24"/>
        </w:rPr>
        <w:t>alimentos consumidos entre gestantes adolesc</w:t>
      </w:r>
      <w:r w:rsidRPr="006D45D5">
        <w:rPr>
          <w:sz w:val="24"/>
          <w:szCs w:val="24"/>
        </w:rPr>
        <w:t>entes através do Sisvan no ano de 2021 (n=2382).</w:t>
      </w:r>
    </w:p>
    <w:tbl>
      <w:tblPr>
        <w:tblStyle w:val="a0"/>
        <w:tblW w:w="5000" w:type="pct"/>
        <w:jc w:val="center"/>
        <w:tblBorders>
          <w:top w:val="single" w:sz="4" w:space="0" w:color="7F7F7F"/>
          <w:left w:val="single" w:sz="4" w:space="0" w:color="B2A1C7"/>
          <w:bottom w:val="single" w:sz="4" w:space="0" w:color="7F7F7F"/>
          <w:right w:val="single" w:sz="4" w:space="0" w:color="B2A1C7"/>
          <w:insideH w:val="single" w:sz="4" w:space="0" w:color="B2A1C7"/>
          <w:insideV w:val="single" w:sz="4" w:space="0" w:color="B2A1C7"/>
        </w:tblBorders>
        <w:tblLook w:val="04A0" w:firstRow="1" w:lastRow="0" w:firstColumn="1" w:lastColumn="0" w:noHBand="0" w:noVBand="1"/>
      </w:tblPr>
      <w:tblGrid>
        <w:gridCol w:w="7307"/>
        <w:gridCol w:w="1768"/>
      </w:tblGrid>
      <w:tr w:rsidR="006D45D5" w:rsidRPr="006D45D5" w14:paraId="63DFD77D" w14:textId="77777777" w:rsidTr="00380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441F30C4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Variável</w:t>
            </w:r>
          </w:p>
        </w:tc>
        <w:tc>
          <w:tcPr>
            <w:tcW w:w="974" w:type="pct"/>
          </w:tcPr>
          <w:p w14:paraId="7B9EBADF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Análise descritiva</w:t>
            </w:r>
          </w:p>
          <w:p w14:paraId="1373FDE4" w14:textId="77777777" w:rsidR="00BB7796" w:rsidRPr="006D45D5" w:rsidRDefault="00205492">
            <w:pPr>
              <w:widowControl w:val="0"/>
              <w:spacing w:line="360" w:lineRule="auto"/>
              <w:ind w:right="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n (%)</w:t>
            </w:r>
          </w:p>
        </w:tc>
      </w:tr>
      <w:tr w:rsidR="006D45D5" w:rsidRPr="006D45D5" w14:paraId="3B47F780" w14:textId="77777777" w:rsidTr="0038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D5AB113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b w:val="0"/>
                <w:sz w:val="20"/>
                <w:szCs w:val="20"/>
              </w:rPr>
              <w:t>Consumo de frutas</w:t>
            </w:r>
          </w:p>
        </w:tc>
      </w:tr>
      <w:tr w:rsidR="006D45D5" w:rsidRPr="006D45D5" w14:paraId="05313403" w14:textId="77777777" w:rsidTr="00380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52EEBBEC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Sim</w:t>
            </w:r>
          </w:p>
        </w:tc>
        <w:tc>
          <w:tcPr>
            <w:tcW w:w="974" w:type="pct"/>
          </w:tcPr>
          <w:p w14:paraId="2BAC1F15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1633 (69,0 %)</w:t>
            </w:r>
          </w:p>
        </w:tc>
      </w:tr>
      <w:tr w:rsidR="006D45D5" w:rsidRPr="006D45D5" w14:paraId="5870D0CF" w14:textId="77777777" w:rsidTr="0038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4BA5003A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Não</w:t>
            </w:r>
          </w:p>
        </w:tc>
        <w:tc>
          <w:tcPr>
            <w:tcW w:w="974" w:type="pct"/>
          </w:tcPr>
          <w:p w14:paraId="14068033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749 (31,0 %)</w:t>
            </w:r>
          </w:p>
        </w:tc>
      </w:tr>
      <w:tr w:rsidR="006D45D5" w:rsidRPr="006D45D5" w14:paraId="1157283B" w14:textId="77777777" w:rsidTr="00380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7B077C72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b w:val="0"/>
                <w:sz w:val="20"/>
                <w:szCs w:val="20"/>
              </w:rPr>
              <w:t>Consumo de verduras e legumes</w:t>
            </w:r>
          </w:p>
        </w:tc>
        <w:tc>
          <w:tcPr>
            <w:tcW w:w="974" w:type="pct"/>
          </w:tcPr>
          <w:p w14:paraId="693E2D27" w14:textId="77777777" w:rsidR="00BB7796" w:rsidRPr="006D45D5" w:rsidRDefault="00BB7796">
            <w:pPr>
              <w:widowControl w:val="0"/>
              <w:spacing w:line="360" w:lineRule="auto"/>
              <w:ind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45D5" w:rsidRPr="006D45D5" w14:paraId="5E6231B7" w14:textId="77777777" w:rsidTr="0038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57AF2AF6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Sim</w:t>
            </w:r>
          </w:p>
        </w:tc>
        <w:tc>
          <w:tcPr>
            <w:tcW w:w="974" w:type="pct"/>
          </w:tcPr>
          <w:p w14:paraId="760FFCCD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1560 (65%)</w:t>
            </w:r>
          </w:p>
        </w:tc>
      </w:tr>
      <w:tr w:rsidR="006D45D5" w:rsidRPr="006D45D5" w14:paraId="44784B9C" w14:textId="77777777" w:rsidTr="00380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781A3363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Não</w:t>
            </w:r>
          </w:p>
        </w:tc>
        <w:tc>
          <w:tcPr>
            <w:tcW w:w="974" w:type="pct"/>
          </w:tcPr>
          <w:p w14:paraId="20324B1D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 xml:space="preserve"> 822 (35%)</w:t>
            </w:r>
          </w:p>
        </w:tc>
      </w:tr>
      <w:tr w:rsidR="006D45D5" w:rsidRPr="006D45D5" w14:paraId="38FC8C48" w14:textId="77777777" w:rsidTr="0038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55F982BA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b w:val="0"/>
                <w:sz w:val="20"/>
                <w:szCs w:val="20"/>
              </w:rPr>
              <w:t xml:space="preserve">Consumo de Alimentos </w:t>
            </w:r>
            <w:r w:rsidRPr="006D45D5">
              <w:rPr>
                <w:b w:val="0"/>
                <w:sz w:val="20"/>
                <w:szCs w:val="20"/>
              </w:rPr>
              <w:t>Ultraprocessados</w:t>
            </w:r>
          </w:p>
        </w:tc>
        <w:tc>
          <w:tcPr>
            <w:tcW w:w="974" w:type="pct"/>
          </w:tcPr>
          <w:p w14:paraId="6018F85A" w14:textId="77777777" w:rsidR="00BB7796" w:rsidRPr="006D45D5" w:rsidRDefault="00BB7796">
            <w:pPr>
              <w:widowControl w:val="0"/>
              <w:spacing w:line="360" w:lineRule="auto"/>
              <w:ind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45D5" w:rsidRPr="006D45D5" w14:paraId="4DB9CCC6" w14:textId="77777777" w:rsidTr="00380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4B9E7C19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Sim</w:t>
            </w:r>
          </w:p>
        </w:tc>
        <w:tc>
          <w:tcPr>
            <w:tcW w:w="974" w:type="pct"/>
          </w:tcPr>
          <w:p w14:paraId="1A0BB209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2021 (85%)</w:t>
            </w:r>
          </w:p>
        </w:tc>
      </w:tr>
      <w:tr w:rsidR="006D45D5" w:rsidRPr="006D45D5" w14:paraId="4EA42105" w14:textId="77777777" w:rsidTr="0038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6BF1A909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Não</w:t>
            </w:r>
          </w:p>
        </w:tc>
        <w:tc>
          <w:tcPr>
            <w:tcW w:w="974" w:type="pct"/>
          </w:tcPr>
          <w:p w14:paraId="30EEA7B2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 xml:space="preserve">  361 (15 %)</w:t>
            </w:r>
          </w:p>
        </w:tc>
      </w:tr>
      <w:tr w:rsidR="006D45D5" w:rsidRPr="006D45D5" w14:paraId="29CD0E83" w14:textId="77777777" w:rsidTr="00380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09938FFE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b w:val="0"/>
                <w:sz w:val="20"/>
                <w:szCs w:val="20"/>
              </w:rPr>
              <w:t>Consumo de bebidas adoçadas</w:t>
            </w:r>
          </w:p>
        </w:tc>
        <w:tc>
          <w:tcPr>
            <w:tcW w:w="974" w:type="pct"/>
          </w:tcPr>
          <w:p w14:paraId="7D07A836" w14:textId="77777777" w:rsidR="00BB7796" w:rsidRPr="006D45D5" w:rsidRDefault="00BB7796">
            <w:pPr>
              <w:widowControl w:val="0"/>
              <w:spacing w:line="360" w:lineRule="auto"/>
              <w:ind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45D5" w:rsidRPr="006D45D5" w14:paraId="00448BDE" w14:textId="77777777" w:rsidTr="0038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3AB28AD6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Sim</w:t>
            </w:r>
          </w:p>
        </w:tc>
        <w:tc>
          <w:tcPr>
            <w:tcW w:w="974" w:type="pct"/>
          </w:tcPr>
          <w:p w14:paraId="6E850603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1497 (63%)</w:t>
            </w:r>
          </w:p>
        </w:tc>
      </w:tr>
      <w:tr w:rsidR="006D45D5" w:rsidRPr="006D45D5" w14:paraId="295CD85A" w14:textId="77777777" w:rsidTr="00380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60B670FA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Não</w:t>
            </w:r>
          </w:p>
        </w:tc>
        <w:tc>
          <w:tcPr>
            <w:tcW w:w="974" w:type="pct"/>
          </w:tcPr>
          <w:p w14:paraId="521922E7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 xml:space="preserve"> 885 (37 %)</w:t>
            </w:r>
          </w:p>
        </w:tc>
      </w:tr>
      <w:tr w:rsidR="006D45D5" w:rsidRPr="006D45D5" w14:paraId="45FE763C" w14:textId="77777777" w:rsidTr="0038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69E4C5C4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b w:val="0"/>
                <w:sz w:val="20"/>
                <w:szCs w:val="20"/>
                <w:highlight w:val="white"/>
              </w:rPr>
              <w:t>Consumo de macarrão instantâneo, salgadinho de pacote ou biscoito salgado</w:t>
            </w:r>
          </w:p>
        </w:tc>
        <w:tc>
          <w:tcPr>
            <w:tcW w:w="974" w:type="pct"/>
          </w:tcPr>
          <w:p w14:paraId="0883DE94" w14:textId="77777777" w:rsidR="00BB7796" w:rsidRPr="006D45D5" w:rsidRDefault="00BB7796">
            <w:pPr>
              <w:widowControl w:val="0"/>
              <w:spacing w:line="360" w:lineRule="auto"/>
              <w:ind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45D5" w:rsidRPr="006D45D5" w14:paraId="013D31CA" w14:textId="77777777" w:rsidTr="00380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4E0AA48D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Sim</w:t>
            </w:r>
          </w:p>
        </w:tc>
        <w:tc>
          <w:tcPr>
            <w:tcW w:w="974" w:type="pct"/>
          </w:tcPr>
          <w:p w14:paraId="09579D60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1045 (44%)</w:t>
            </w:r>
          </w:p>
        </w:tc>
      </w:tr>
      <w:tr w:rsidR="006D45D5" w:rsidRPr="006D45D5" w14:paraId="576045BD" w14:textId="77777777" w:rsidTr="0038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23ABB18E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Não</w:t>
            </w:r>
          </w:p>
        </w:tc>
        <w:tc>
          <w:tcPr>
            <w:tcW w:w="974" w:type="pct"/>
          </w:tcPr>
          <w:p w14:paraId="0CC75DA5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1337 (56 %)</w:t>
            </w:r>
          </w:p>
        </w:tc>
      </w:tr>
      <w:tr w:rsidR="006D45D5" w:rsidRPr="006D45D5" w14:paraId="763A6517" w14:textId="77777777" w:rsidTr="00380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23604E19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b w:val="0"/>
                <w:sz w:val="20"/>
                <w:szCs w:val="20"/>
                <w:highlight w:val="white"/>
              </w:rPr>
              <w:t xml:space="preserve">Consumo de biscoito </w:t>
            </w:r>
            <w:r w:rsidRPr="006D45D5">
              <w:rPr>
                <w:b w:val="0"/>
                <w:sz w:val="20"/>
                <w:szCs w:val="20"/>
                <w:highlight w:val="white"/>
              </w:rPr>
              <w:t>recheado, doces ou guloseimas</w:t>
            </w:r>
          </w:p>
        </w:tc>
        <w:tc>
          <w:tcPr>
            <w:tcW w:w="974" w:type="pct"/>
          </w:tcPr>
          <w:p w14:paraId="40A0DC90" w14:textId="77777777" w:rsidR="00BB7796" w:rsidRPr="006D45D5" w:rsidRDefault="00BB7796">
            <w:pPr>
              <w:widowControl w:val="0"/>
              <w:spacing w:line="360" w:lineRule="auto"/>
              <w:ind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45D5" w:rsidRPr="006D45D5" w14:paraId="3F6A33F7" w14:textId="77777777" w:rsidTr="00380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394508F5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Sim</w:t>
            </w:r>
          </w:p>
        </w:tc>
        <w:tc>
          <w:tcPr>
            <w:tcW w:w="974" w:type="pct"/>
          </w:tcPr>
          <w:p w14:paraId="28758489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1144 (48 %)</w:t>
            </w:r>
          </w:p>
        </w:tc>
      </w:tr>
      <w:tr w:rsidR="006D45D5" w:rsidRPr="006D45D5" w14:paraId="3CDE1C9B" w14:textId="77777777" w:rsidTr="00380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</w:tcPr>
          <w:p w14:paraId="68586D69" w14:textId="77777777" w:rsidR="00BB7796" w:rsidRPr="006D45D5" w:rsidRDefault="00205492">
            <w:pPr>
              <w:widowControl w:val="0"/>
              <w:spacing w:line="360" w:lineRule="auto"/>
              <w:ind w:right="13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Não</w:t>
            </w:r>
          </w:p>
        </w:tc>
        <w:tc>
          <w:tcPr>
            <w:tcW w:w="974" w:type="pct"/>
          </w:tcPr>
          <w:p w14:paraId="236A3774" w14:textId="77777777" w:rsidR="00BB7796" w:rsidRPr="006D45D5" w:rsidRDefault="00205492">
            <w:pPr>
              <w:widowControl w:val="0"/>
              <w:spacing w:line="360" w:lineRule="auto"/>
              <w:ind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45D5">
              <w:rPr>
                <w:sz w:val="20"/>
                <w:szCs w:val="20"/>
              </w:rPr>
              <w:t>1238 (52%)</w:t>
            </w:r>
          </w:p>
        </w:tc>
      </w:tr>
    </w:tbl>
    <w:p w14:paraId="2FFC3A61" w14:textId="77777777" w:rsidR="00BB7796" w:rsidRPr="006D45D5" w:rsidRDefault="00BB77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7A586D6E" w14:textId="77777777" w:rsidR="00BB7796" w:rsidRPr="006D45D5" w:rsidRDefault="00205492">
      <w:pPr>
        <w:spacing w:line="360" w:lineRule="auto"/>
        <w:jc w:val="both"/>
        <w:rPr>
          <w:b/>
          <w:sz w:val="24"/>
          <w:szCs w:val="24"/>
        </w:rPr>
      </w:pPr>
      <w:r w:rsidRPr="006D45D5">
        <w:rPr>
          <w:b/>
          <w:sz w:val="24"/>
          <w:szCs w:val="24"/>
        </w:rPr>
        <w:t>4 CONSIDERAÇÕES FINAIS</w:t>
      </w:r>
    </w:p>
    <w:p w14:paraId="2D6B1F21" w14:textId="23E6EF3D" w:rsidR="00BB7796" w:rsidRPr="006D45D5" w:rsidRDefault="002054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6D45D5">
        <w:rPr>
          <w:sz w:val="24"/>
          <w:szCs w:val="24"/>
        </w:rPr>
        <w:t xml:space="preserve">Pode-se observar que a maior parte das gestantes adolescentes se encontram em estado nutricional eutrófico, mas em seguida o baixo peso é predominante esse resultado pode impactar de forma negativa no </w:t>
      </w:r>
      <w:r w:rsidR="00A633E1" w:rsidRPr="006D45D5">
        <w:rPr>
          <w:sz w:val="24"/>
          <w:szCs w:val="24"/>
        </w:rPr>
        <w:t>durante a gestação. Quanto ao perfil alimentar avaliou-se o consumo alimentar, onde ouve o consumo elevado de al</w:t>
      </w:r>
      <w:r w:rsidR="00BF2861" w:rsidRPr="006D45D5">
        <w:rPr>
          <w:sz w:val="24"/>
          <w:szCs w:val="24"/>
        </w:rPr>
        <w:t xml:space="preserve">imentos </w:t>
      </w:r>
      <w:r w:rsidR="00A633E1" w:rsidRPr="006D45D5">
        <w:rPr>
          <w:sz w:val="24"/>
          <w:szCs w:val="24"/>
        </w:rPr>
        <w:t xml:space="preserve">ultraprocessados </w:t>
      </w:r>
      <w:r w:rsidR="00BF2861" w:rsidRPr="006D45D5">
        <w:rPr>
          <w:sz w:val="24"/>
          <w:szCs w:val="24"/>
        </w:rPr>
        <w:t>em seguida com frequência semelhante o consumo de frutas</w:t>
      </w:r>
      <w:r w:rsidR="00A972F2">
        <w:rPr>
          <w:sz w:val="24"/>
          <w:szCs w:val="24"/>
        </w:rPr>
        <w:t xml:space="preserve">, </w:t>
      </w:r>
      <w:r w:rsidR="00BF2861" w:rsidRPr="006D45D5">
        <w:rPr>
          <w:sz w:val="24"/>
          <w:szCs w:val="24"/>
        </w:rPr>
        <w:t>verduras e legumes e com menor freq</w:t>
      </w:r>
      <w:r w:rsidR="00A972F2">
        <w:rPr>
          <w:sz w:val="24"/>
          <w:szCs w:val="24"/>
        </w:rPr>
        <w:t>u</w:t>
      </w:r>
      <w:r w:rsidR="00BF2861" w:rsidRPr="006D45D5">
        <w:rPr>
          <w:sz w:val="24"/>
          <w:szCs w:val="24"/>
        </w:rPr>
        <w:t>ência</w:t>
      </w:r>
      <w:r w:rsidR="00BF2861" w:rsidRPr="006D45D5">
        <w:rPr>
          <w:sz w:val="24"/>
          <w:szCs w:val="24"/>
          <w:highlight w:val="white"/>
        </w:rPr>
        <w:t xml:space="preserve"> macarrão instantâneo, salgadinho de pacote ou biscoito salgado</w:t>
      </w:r>
      <w:r w:rsidR="00BF2861" w:rsidRPr="006D45D5">
        <w:rPr>
          <w:sz w:val="24"/>
          <w:szCs w:val="24"/>
        </w:rPr>
        <w:t xml:space="preserve">. Dessa forma uma assistência pré-natal acessível e de qualidade confirma a importância de seguir medidas para </w:t>
      </w:r>
      <w:r w:rsidR="00D56C67" w:rsidRPr="006D45D5">
        <w:rPr>
          <w:sz w:val="24"/>
          <w:szCs w:val="24"/>
        </w:rPr>
        <w:t xml:space="preserve">prevenir ou controlar </w:t>
      </w:r>
      <w:r w:rsidR="00BF2861" w:rsidRPr="006D45D5">
        <w:rPr>
          <w:sz w:val="24"/>
          <w:szCs w:val="24"/>
        </w:rPr>
        <w:t>muito dos problemas</w:t>
      </w:r>
      <w:r w:rsidR="00D56C67" w:rsidRPr="006D45D5">
        <w:rPr>
          <w:sz w:val="24"/>
          <w:szCs w:val="24"/>
        </w:rPr>
        <w:t>, que vem sendo observado através do decrescimento na mortalidade perinatal e de lactentes</w:t>
      </w:r>
      <w:r w:rsidR="006D45D5" w:rsidRPr="006D45D5">
        <w:rPr>
          <w:sz w:val="24"/>
          <w:szCs w:val="24"/>
        </w:rPr>
        <w:t>.</w:t>
      </w:r>
    </w:p>
    <w:p w14:paraId="70472C48" w14:textId="77777777" w:rsidR="00A633E1" w:rsidRPr="006D45D5" w:rsidRDefault="00A633E1" w:rsidP="009A3E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54BC1D60" w14:textId="439AF52B" w:rsidR="00ED0107" w:rsidRDefault="00ED0107" w:rsidP="00046BC0">
      <w:pPr>
        <w:spacing w:line="360" w:lineRule="auto"/>
        <w:jc w:val="both"/>
        <w:rPr>
          <w:sz w:val="24"/>
          <w:szCs w:val="24"/>
        </w:rPr>
      </w:pPr>
    </w:p>
    <w:p w14:paraId="2ABC438C" w14:textId="77777777" w:rsidR="00873DA8" w:rsidRDefault="00873DA8" w:rsidP="00046BC0">
      <w:pPr>
        <w:spacing w:line="360" w:lineRule="auto"/>
        <w:jc w:val="both"/>
        <w:rPr>
          <w:sz w:val="24"/>
          <w:szCs w:val="24"/>
        </w:rPr>
      </w:pPr>
    </w:p>
    <w:p w14:paraId="04913505" w14:textId="4F38E528" w:rsidR="00BB7796" w:rsidRPr="006D45D5" w:rsidRDefault="00205492" w:rsidP="00046BC0">
      <w:pPr>
        <w:spacing w:line="360" w:lineRule="auto"/>
        <w:jc w:val="both"/>
        <w:rPr>
          <w:b/>
          <w:sz w:val="24"/>
          <w:szCs w:val="24"/>
        </w:rPr>
      </w:pPr>
      <w:r w:rsidRPr="006D45D5">
        <w:rPr>
          <w:b/>
          <w:sz w:val="24"/>
          <w:szCs w:val="24"/>
        </w:rPr>
        <w:lastRenderedPageBreak/>
        <w:t>REFERÊNCIAS BIBLIOGRÁ</w:t>
      </w:r>
      <w:r w:rsidRPr="006D45D5">
        <w:rPr>
          <w:b/>
          <w:sz w:val="24"/>
          <w:szCs w:val="24"/>
        </w:rPr>
        <w:t>FICAS</w:t>
      </w:r>
    </w:p>
    <w:p w14:paraId="2BB51028" w14:textId="77777777" w:rsidR="00272EEB" w:rsidRPr="006D45D5" w:rsidRDefault="00272EEB" w:rsidP="00046BC0">
      <w:pPr>
        <w:spacing w:line="360" w:lineRule="auto"/>
        <w:jc w:val="both"/>
        <w:rPr>
          <w:sz w:val="24"/>
          <w:szCs w:val="24"/>
        </w:rPr>
      </w:pPr>
    </w:p>
    <w:p w14:paraId="5C398920" w14:textId="3DADE04C" w:rsidR="00272EEB" w:rsidRPr="00516A83" w:rsidRDefault="00272EEB" w:rsidP="00046BC0">
      <w:pPr>
        <w:pStyle w:val="Default"/>
        <w:spacing w:line="360" w:lineRule="auto"/>
        <w:jc w:val="both"/>
        <w:rPr>
          <w:color w:val="auto"/>
        </w:rPr>
      </w:pPr>
      <w:r w:rsidRPr="00516A83">
        <w:rPr>
          <w:color w:val="auto"/>
        </w:rPr>
        <w:t xml:space="preserve">ACCIOLY, ELIZABETH; SAUNDERS, CLÁUDIA &amp; LACERDA, ELISA MARIA DE AQUINO. </w:t>
      </w:r>
      <w:r w:rsidRPr="00516A83">
        <w:rPr>
          <w:b/>
          <w:bCs/>
          <w:color w:val="auto"/>
        </w:rPr>
        <w:t xml:space="preserve">Nutrição em Obstetrícia e Pediatria </w:t>
      </w:r>
      <w:r w:rsidRPr="00516A83">
        <w:rPr>
          <w:color w:val="auto"/>
        </w:rPr>
        <w:t>- 2ª EDIÇÃO. Cultura Médica. 2009.</w:t>
      </w:r>
    </w:p>
    <w:p w14:paraId="5282A145" w14:textId="77777777" w:rsidR="00272EEB" w:rsidRPr="00516A83" w:rsidRDefault="00272EEB" w:rsidP="00046BC0">
      <w:pPr>
        <w:pStyle w:val="Default"/>
        <w:spacing w:line="360" w:lineRule="auto"/>
        <w:jc w:val="both"/>
        <w:rPr>
          <w:color w:val="auto"/>
        </w:rPr>
      </w:pPr>
    </w:p>
    <w:p w14:paraId="264E6C1D" w14:textId="00C54549" w:rsidR="00272EEB" w:rsidRPr="00516A83" w:rsidRDefault="00DF7E33" w:rsidP="00046BC0">
      <w:pPr>
        <w:spacing w:line="360" w:lineRule="auto"/>
        <w:jc w:val="both"/>
        <w:rPr>
          <w:rFonts w:eastAsia="Arial"/>
          <w:sz w:val="24"/>
          <w:szCs w:val="24"/>
        </w:rPr>
      </w:pPr>
      <w:r w:rsidRPr="00516A83">
        <w:rPr>
          <w:sz w:val="24"/>
          <w:szCs w:val="24"/>
          <w:shd w:val="clear" w:color="auto" w:fill="FFFFFF"/>
        </w:rPr>
        <w:t>ALVES-SANTOS, Nadya Helena et al. Dietary intake variations from pre-conception to gestational period according to the degree of industrial processing: a Brazilian cohort. </w:t>
      </w:r>
      <w:r w:rsidRPr="00516A83">
        <w:rPr>
          <w:b/>
          <w:bCs/>
          <w:sz w:val="24"/>
          <w:szCs w:val="24"/>
          <w:shd w:val="clear" w:color="auto" w:fill="FFFFFF"/>
        </w:rPr>
        <w:t>Appetite</w:t>
      </w:r>
      <w:r w:rsidRPr="00516A83">
        <w:rPr>
          <w:sz w:val="24"/>
          <w:szCs w:val="24"/>
          <w:shd w:val="clear" w:color="auto" w:fill="FFFFFF"/>
        </w:rPr>
        <w:t>, v. 105, p. 164-171, 2016.</w:t>
      </w:r>
      <w:r w:rsidR="00272EEB" w:rsidRPr="00516A83">
        <w:rPr>
          <w:rFonts w:eastAsia="Arial"/>
          <w:sz w:val="24"/>
          <w:szCs w:val="24"/>
          <w:highlight w:val="white"/>
        </w:rPr>
        <w:t>.</w:t>
      </w:r>
      <w:r w:rsidR="00272EEB" w:rsidRPr="00516A83">
        <w:rPr>
          <w:sz w:val="24"/>
          <w:szCs w:val="24"/>
        </w:rPr>
        <w:t xml:space="preserve"> Disponível em: https://sciencedirect.com/science/article/abs/pii/S0195666316302112.</w:t>
      </w:r>
      <w:r w:rsidR="00272EEB" w:rsidRPr="00516A83">
        <w:rPr>
          <w:rFonts w:eastAsia="Arial"/>
          <w:sz w:val="24"/>
          <w:szCs w:val="24"/>
        </w:rPr>
        <w:t xml:space="preserve"> Acesso em: 29 ago.</w:t>
      </w:r>
    </w:p>
    <w:p w14:paraId="3C742B97" w14:textId="77777777" w:rsidR="00272EEB" w:rsidRPr="00516A83" w:rsidRDefault="00272EEB" w:rsidP="00046BC0">
      <w:pPr>
        <w:widowControl/>
        <w:spacing w:after="200" w:line="360" w:lineRule="auto"/>
        <w:contextualSpacing/>
        <w:jc w:val="both"/>
        <w:rPr>
          <w:sz w:val="24"/>
          <w:szCs w:val="24"/>
        </w:rPr>
      </w:pPr>
    </w:p>
    <w:p w14:paraId="09D618E8" w14:textId="4C0A2F43" w:rsidR="00272EEB" w:rsidRPr="00516A83" w:rsidRDefault="00272EEB" w:rsidP="00046BC0">
      <w:pPr>
        <w:widowControl/>
        <w:spacing w:after="200" w:line="360" w:lineRule="auto"/>
        <w:contextualSpacing/>
        <w:jc w:val="both"/>
        <w:rPr>
          <w:sz w:val="24"/>
          <w:szCs w:val="24"/>
        </w:rPr>
      </w:pPr>
      <w:r w:rsidRPr="00516A83">
        <w:rPr>
          <w:sz w:val="24"/>
          <w:szCs w:val="24"/>
        </w:rPr>
        <w:t xml:space="preserve">Brasil. Ministério da Saúde. Secretaria de Atenção à Saúde. Departamento de Atenção Básica. </w:t>
      </w:r>
      <w:r w:rsidRPr="00516A83">
        <w:rPr>
          <w:b/>
          <w:bCs/>
          <w:sz w:val="24"/>
          <w:szCs w:val="24"/>
        </w:rPr>
        <w:t>Atenção ao pré-natal de baixo risco</w:t>
      </w:r>
      <w:r w:rsidRPr="00516A83">
        <w:rPr>
          <w:sz w:val="24"/>
          <w:szCs w:val="24"/>
        </w:rPr>
        <w:t xml:space="preserve"> [recurso eletrônico] / Ministério da Saúde. Secretaria de Atenção à Saúde. Departamento de Atenção Básica. – 1. ed. rev.</w:t>
      </w:r>
      <w:r w:rsidR="00AC38F6" w:rsidRPr="00516A83">
        <w:rPr>
          <w:sz w:val="24"/>
          <w:szCs w:val="24"/>
        </w:rPr>
        <w:t>, 318</w:t>
      </w:r>
      <w:r w:rsidRPr="00516A83">
        <w:rPr>
          <w:sz w:val="24"/>
          <w:szCs w:val="24"/>
        </w:rPr>
        <w:t>– Brasília : Editora do Ministério da Saúde, 2013.</w:t>
      </w:r>
    </w:p>
    <w:p w14:paraId="0C3B0668" w14:textId="77777777" w:rsidR="00272EEB" w:rsidRPr="00516A83" w:rsidRDefault="00272EEB" w:rsidP="00046BC0">
      <w:pPr>
        <w:widowControl/>
        <w:spacing w:after="200" w:line="360" w:lineRule="auto"/>
        <w:contextualSpacing/>
        <w:jc w:val="both"/>
        <w:rPr>
          <w:sz w:val="24"/>
          <w:szCs w:val="24"/>
          <w:lang w:val="en-US"/>
        </w:rPr>
      </w:pPr>
    </w:p>
    <w:p w14:paraId="75862C62" w14:textId="5063205A" w:rsidR="00272EEB" w:rsidRPr="00516A83" w:rsidRDefault="00272EEB" w:rsidP="00046BC0">
      <w:pPr>
        <w:widowControl/>
        <w:spacing w:after="200" w:line="360" w:lineRule="auto"/>
        <w:contextualSpacing/>
        <w:jc w:val="both"/>
        <w:rPr>
          <w:sz w:val="24"/>
          <w:szCs w:val="24"/>
        </w:rPr>
      </w:pPr>
      <w:r w:rsidRPr="00516A83">
        <w:rPr>
          <w:sz w:val="24"/>
          <w:szCs w:val="24"/>
        </w:rPr>
        <w:t xml:space="preserve">Brasil. Ministério da Saúde. Secretaria de Atenção à Saúde. Departamento de Ações Programáticas Estratégicas. Área Técnica de Saúde da Mulher. </w:t>
      </w:r>
      <w:r w:rsidRPr="00516A83">
        <w:rPr>
          <w:b/>
          <w:bCs/>
          <w:sz w:val="24"/>
          <w:szCs w:val="24"/>
        </w:rPr>
        <w:t>Pré-natal e Puerpério: atenção qualificada e humanizada – manual técnico</w:t>
      </w:r>
      <w:r w:rsidRPr="00516A83">
        <w:rPr>
          <w:sz w:val="24"/>
          <w:szCs w:val="24"/>
        </w:rPr>
        <w:t>/Ministério da Saúde, Secretaria de Atenção à Saúde, Departamento de Ações Programáticas Estratégicas – Brasília: Ministério da Saúde, 2005.</w:t>
      </w:r>
    </w:p>
    <w:p w14:paraId="05DD07EC" w14:textId="77777777" w:rsidR="00272EEB" w:rsidRPr="00516A83" w:rsidRDefault="00272EEB" w:rsidP="00046BC0">
      <w:pPr>
        <w:widowControl/>
        <w:spacing w:after="200" w:line="360" w:lineRule="auto"/>
        <w:contextualSpacing/>
        <w:jc w:val="both"/>
        <w:rPr>
          <w:sz w:val="24"/>
          <w:szCs w:val="24"/>
          <w:lang w:val="en-US"/>
        </w:rPr>
      </w:pPr>
    </w:p>
    <w:p w14:paraId="37619CF8" w14:textId="0B859971" w:rsidR="00272EEB" w:rsidRPr="00516A83" w:rsidRDefault="00272EEB" w:rsidP="00046BC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16A83">
        <w:rPr>
          <w:sz w:val="24"/>
          <w:szCs w:val="24"/>
        </w:rPr>
        <w:t xml:space="preserve">Brasil. Ministério da Saúde. Secretaria de Atenção à Saúde. Departamento de Atenção Básica. </w:t>
      </w:r>
      <w:r w:rsidRPr="00516A83">
        <w:rPr>
          <w:b/>
          <w:sz w:val="24"/>
          <w:szCs w:val="24"/>
        </w:rPr>
        <w:t>Marco de referência da vigilância alimentar e nutricional na atenção básica</w:t>
      </w:r>
      <w:r w:rsidRPr="00516A83">
        <w:rPr>
          <w:sz w:val="24"/>
          <w:szCs w:val="24"/>
        </w:rPr>
        <w:t xml:space="preserve"> / Ministério da Saúde, Secretaria de Atenção à Saúde, Departamento de Atenção Básica. – Brasília : Ministério da Saúde, 2015.</w:t>
      </w:r>
    </w:p>
    <w:p w14:paraId="1F5C3A14" w14:textId="29D5EB71" w:rsidR="00272EEB" w:rsidRPr="00516A83" w:rsidRDefault="00272EEB" w:rsidP="00046BC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0EB6129D" w14:textId="71A4F15F" w:rsidR="00516A83" w:rsidRPr="00516A83" w:rsidRDefault="00516A83" w:rsidP="00046BC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16A83">
        <w:rPr>
          <w:sz w:val="24"/>
          <w:szCs w:val="24"/>
        </w:rPr>
        <w:t xml:space="preserve">Brasil. ministério da saúde. secretaria de atenção à saúde. departamento de atenção Básica. </w:t>
      </w:r>
      <w:r w:rsidRPr="00516A83">
        <w:rPr>
          <w:b/>
          <w:bCs/>
          <w:sz w:val="24"/>
          <w:szCs w:val="24"/>
        </w:rPr>
        <w:t>Guia alimentar para a população brasileira</w:t>
      </w:r>
      <w:r w:rsidRPr="00516A83">
        <w:rPr>
          <w:sz w:val="24"/>
          <w:szCs w:val="24"/>
        </w:rPr>
        <w:t xml:space="preserve"> / ministério da saúde, secretaria de atenção à saúde, departamento de atenção Básica. – 2. ed. – Brasília : ministério da saúde, 2014. 156 p.</w:t>
      </w:r>
    </w:p>
    <w:p w14:paraId="1CB506E8" w14:textId="77777777" w:rsidR="0037608B" w:rsidRDefault="0037608B" w:rsidP="00046BC0">
      <w:pPr>
        <w:spacing w:line="360" w:lineRule="auto"/>
        <w:jc w:val="both"/>
        <w:rPr>
          <w:sz w:val="24"/>
          <w:szCs w:val="24"/>
        </w:rPr>
      </w:pPr>
    </w:p>
    <w:p w14:paraId="5D58E85D" w14:textId="05B21AA6" w:rsidR="00272EEB" w:rsidRPr="00516A83" w:rsidRDefault="00272EEB" w:rsidP="00046BC0">
      <w:pPr>
        <w:spacing w:line="360" w:lineRule="auto"/>
        <w:jc w:val="both"/>
        <w:rPr>
          <w:rFonts w:eastAsia="Arial"/>
          <w:sz w:val="24"/>
          <w:szCs w:val="24"/>
        </w:rPr>
      </w:pPr>
      <w:r w:rsidRPr="00516A83">
        <w:rPr>
          <w:rFonts w:eastAsia="Arial"/>
          <w:sz w:val="24"/>
          <w:szCs w:val="24"/>
          <w:highlight w:val="white"/>
        </w:rPr>
        <w:t xml:space="preserve">DA SILVA BOUZAS, Isabel Cristina; CADER, Samária Ali; LEAO, Lenora. Gravidez na adolescência: uma revisão sistemática do impacto da idade materna nas complicações clínicas, obstétricas e neonatais na primeira fase da adolescência. </w:t>
      </w:r>
      <w:r w:rsidRPr="00516A83">
        <w:rPr>
          <w:rFonts w:eastAsia="Arial"/>
          <w:b/>
          <w:sz w:val="24"/>
          <w:szCs w:val="24"/>
          <w:highlight w:val="white"/>
        </w:rPr>
        <w:t>Adolescencia e Saude</w:t>
      </w:r>
      <w:r w:rsidRPr="00516A83">
        <w:rPr>
          <w:rFonts w:eastAsia="Arial"/>
          <w:sz w:val="24"/>
          <w:szCs w:val="24"/>
          <w:highlight w:val="white"/>
        </w:rPr>
        <w:t>, v. 11, n. 3, p. 7-21,</w:t>
      </w:r>
      <w:r w:rsidRPr="00516A83">
        <w:rPr>
          <w:rFonts w:eastAsia="Arial"/>
          <w:sz w:val="24"/>
          <w:szCs w:val="24"/>
        </w:rPr>
        <w:t>2014.</w:t>
      </w:r>
    </w:p>
    <w:p w14:paraId="6ED6A9AE" w14:textId="77777777" w:rsidR="00272EEB" w:rsidRPr="00516A83" w:rsidRDefault="00272EEB" w:rsidP="00046BC0">
      <w:pPr>
        <w:spacing w:line="360" w:lineRule="auto"/>
        <w:jc w:val="both"/>
        <w:rPr>
          <w:rFonts w:eastAsia="Arial"/>
          <w:sz w:val="24"/>
          <w:szCs w:val="24"/>
        </w:rPr>
      </w:pPr>
    </w:p>
    <w:p w14:paraId="4CB1DC33" w14:textId="13780BEF" w:rsidR="00272EEB" w:rsidRDefault="00DF7E33" w:rsidP="00CC167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516A83">
        <w:rPr>
          <w:sz w:val="24"/>
          <w:szCs w:val="24"/>
          <w:shd w:val="clear" w:color="auto" w:fill="FFFFFF"/>
        </w:rPr>
        <w:t>DUCHINI, Lya et al. Avaliação e monitoramento do estado nutricional de pacientes hospitalizados: uma proposta apoiada na opinião da comunidade científica. </w:t>
      </w:r>
      <w:r w:rsidRPr="00516A83">
        <w:rPr>
          <w:b/>
          <w:bCs/>
          <w:sz w:val="24"/>
          <w:szCs w:val="24"/>
          <w:shd w:val="clear" w:color="auto" w:fill="FFFFFF"/>
        </w:rPr>
        <w:t>Revista de Nutrição</w:t>
      </w:r>
      <w:r w:rsidRPr="00516A83">
        <w:rPr>
          <w:sz w:val="24"/>
          <w:szCs w:val="24"/>
          <w:shd w:val="clear" w:color="auto" w:fill="FFFFFF"/>
        </w:rPr>
        <w:t>, v. 23, p. 513-522, 2010.</w:t>
      </w:r>
      <w:r w:rsidR="00272EEB" w:rsidRPr="00516A83">
        <w:rPr>
          <w:sz w:val="24"/>
          <w:szCs w:val="24"/>
          <w:shd w:val="clear" w:color="auto" w:fill="FFFFFF"/>
        </w:rPr>
        <w:t>Disponível em:</w:t>
      </w:r>
      <w:r w:rsidRPr="00516A83">
        <w:rPr>
          <w:sz w:val="24"/>
          <w:szCs w:val="24"/>
        </w:rPr>
        <w:t xml:space="preserve"> </w:t>
      </w:r>
      <w:hyperlink r:id="rId9" w:history="1">
        <w:r w:rsidRPr="00ED010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https://www.scielo.br/j/rn/a/ZGqHBMRmnmktbsC6WCRwQ7M/abstract/?lang=pt</w:t>
        </w:r>
      </w:hyperlink>
      <w:r w:rsidR="00272EEB" w:rsidRPr="00516A83">
        <w:rPr>
          <w:sz w:val="24"/>
          <w:szCs w:val="24"/>
          <w:shd w:val="clear" w:color="auto" w:fill="FFFFFF"/>
        </w:rPr>
        <w:t>. Acess</w:t>
      </w:r>
      <w:r w:rsidR="00ED0107">
        <w:rPr>
          <w:sz w:val="24"/>
          <w:szCs w:val="24"/>
          <w:shd w:val="clear" w:color="auto" w:fill="FFFFFF"/>
        </w:rPr>
        <w:t>o</w:t>
      </w:r>
      <w:r w:rsidR="00272EEB" w:rsidRPr="00516A83">
        <w:rPr>
          <w:sz w:val="24"/>
          <w:szCs w:val="24"/>
          <w:shd w:val="clear" w:color="auto" w:fill="FFFFFF"/>
        </w:rPr>
        <w:t xml:space="preserve"> em: 28 ago.</w:t>
      </w:r>
    </w:p>
    <w:p w14:paraId="7F6E7A88" w14:textId="77777777" w:rsidR="00873DA8" w:rsidRPr="00CC167E" w:rsidRDefault="00873DA8" w:rsidP="00CC167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shd w:val="clear" w:color="auto" w:fill="FFFFFF"/>
        </w:rPr>
      </w:pPr>
    </w:p>
    <w:p w14:paraId="7053D3AF" w14:textId="57D863C6" w:rsidR="00272EEB" w:rsidRPr="00516A83" w:rsidRDefault="00DF7E33" w:rsidP="00046BC0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516A83">
        <w:rPr>
          <w:sz w:val="24"/>
          <w:szCs w:val="24"/>
          <w:shd w:val="clear" w:color="auto" w:fill="FFFFFF"/>
        </w:rPr>
        <w:t>GUERRA, Alessandra Fontes Ferreira da Silva; HEYDE, Maria Emília Daudt von der; MULINARI, Rogério Andrade. Impacto do estado nutricional no peso ao nascer de recém-nascidos de gestantes adolescentes. </w:t>
      </w:r>
      <w:r w:rsidRPr="00516A83">
        <w:rPr>
          <w:b/>
          <w:bCs/>
          <w:sz w:val="24"/>
          <w:szCs w:val="24"/>
          <w:shd w:val="clear" w:color="auto" w:fill="FFFFFF"/>
        </w:rPr>
        <w:t>Revista Brasileira de Ginecologia e Obstetrícia</w:t>
      </w:r>
      <w:r w:rsidRPr="00516A83">
        <w:rPr>
          <w:sz w:val="24"/>
          <w:szCs w:val="24"/>
          <w:shd w:val="clear" w:color="auto" w:fill="FFFFFF"/>
        </w:rPr>
        <w:t>, v. 29, p. 126-133, 2007.</w:t>
      </w:r>
      <w:r w:rsidRPr="00516A83">
        <w:rPr>
          <w:sz w:val="24"/>
          <w:szCs w:val="24"/>
          <w:shd w:val="clear" w:color="auto" w:fill="FFFFFF"/>
        </w:rPr>
        <w:t xml:space="preserve"> </w:t>
      </w:r>
      <w:r w:rsidR="00272EEB" w:rsidRPr="00516A83">
        <w:rPr>
          <w:rFonts w:eastAsia="Arial"/>
          <w:sz w:val="24"/>
          <w:szCs w:val="24"/>
          <w:highlight w:val="white"/>
        </w:rPr>
        <w:t xml:space="preserve">Disponível em: </w:t>
      </w:r>
      <w:r w:rsidR="00205492" w:rsidRPr="00516A83">
        <w:rPr>
          <w:sz w:val="24"/>
          <w:szCs w:val="24"/>
        </w:rPr>
        <w:fldChar w:fldCharType="begin"/>
      </w:r>
      <w:r w:rsidR="00205492" w:rsidRPr="00516A83">
        <w:rPr>
          <w:sz w:val="24"/>
          <w:szCs w:val="24"/>
        </w:rPr>
        <w:instrText xml:space="preserve"> HYPERLINK "https://scielo.br/rbgo/a/PvXY96LxSsSMZNy8RYZ9mTM/?lang=pt" </w:instrText>
      </w:r>
      <w:r w:rsidR="00205492" w:rsidRPr="00516A83">
        <w:rPr>
          <w:sz w:val="24"/>
          <w:szCs w:val="24"/>
        </w:rPr>
        <w:fldChar w:fldCharType="separate"/>
      </w:r>
      <w:r w:rsidR="00272EEB" w:rsidRPr="00516A83">
        <w:rPr>
          <w:rStyle w:val="Hyperlink"/>
          <w:rFonts w:eastAsia="Arial"/>
          <w:color w:val="auto"/>
          <w:sz w:val="24"/>
          <w:szCs w:val="24"/>
          <w:highlight w:val="white"/>
        </w:rPr>
        <w:t>https://scielo.br/rbgo/a/PvXY96LxSsSMZNy8RYZ9mTM</w:t>
      </w:r>
      <w:r w:rsidR="00272EEB" w:rsidRPr="00516A83">
        <w:rPr>
          <w:rStyle w:val="Hyperlink"/>
          <w:color w:val="auto"/>
          <w:sz w:val="24"/>
          <w:szCs w:val="24"/>
          <w:shd w:val="clear" w:color="auto" w:fill="FFFFFF"/>
        </w:rPr>
        <w:t>/?lang=pt</w:t>
      </w:r>
      <w:r w:rsidR="00205492" w:rsidRPr="00516A83">
        <w:rPr>
          <w:rStyle w:val="Hyperlink"/>
          <w:color w:val="auto"/>
          <w:sz w:val="24"/>
          <w:szCs w:val="24"/>
          <w:shd w:val="clear" w:color="auto" w:fill="FFFFFF"/>
        </w:rPr>
        <w:fldChar w:fldCharType="end"/>
      </w:r>
      <w:r w:rsidR="00272EEB" w:rsidRPr="00516A83">
        <w:rPr>
          <w:sz w:val="24"/>
          <w:szCs w:val="24"/>
          <w:shd w:val="clear" w:color="auto" w:fill="FFFFFF"/>
        </w:rPr>
        <w:t>. Acesso em: 28 ago.</w:t>
      </w:r>
    </w:p>
    <w:p w14:paraId="252D6286" w14:textId="77777777" w:rsidR="00272EEB" w:rsidRPr="00516A83" w:rsidRDefault="00272EEB" w:rsidP="00046BC0">
      <w:pPr>
        <w:spacing w:line="360" w:lineRule="auto"/>
        <w:jc w:val="both"/>
        <w:rPr>
          <w:rFonts w:eastAsia="Arial"/>
          <w:sz w:val="24"/>
          <w:szCs w:val="24"/>
          <w:highlight w:val="white"/>
        </w:rPr>
      </w:pPr>
    </w:p>
    <w:p w14:paraId="268FE8B6" w14:textId="2D8246F9" w:rsidR="00272EEB" w:rsidRPr="00516A83" w:rsidRDefault="00DF7E33" w:rsidP="00046BC0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516A83">
        <w:rPr>
          <w:sz w:val="24"/>
          <w:szCs w:val="24"/>
          <w:shd w:val="clear" w:color="auto" w:fill="FFFFFF"/>
        </w:rPr>
        <w:t>JOMORI, Manuela Mika; PROENÇA, Rossana Pacheco da Costa; CALVO, Maria Cristina Marino. Determinantes de escolha alimentar. </w:t>
      </w:r>
      <w:r w:rsidRPr="00516A83">
        <w:rPr>
          <w:b/>
          <w:bCs/>
          <w:sz w:val="24"/>
          <w:szCs w:val="24"/>
          <w:shd w:val="clear" w:color="auto" w:fill="FFFFFF"/>
        </w:rPr>
        <w:t>Revista de Nutrição</w:t>
      </w:r>
      <w:r w:rsidRPr="00516A83">
        <w:rPr>
          <w:sz w:val="24"/>
          <w:szCs w:val="24"/>
          <w:shd w:val="clear" w:color="auto" w:fill="FFFFFF"/>
        </w:rPr>
        <w:t>, v. 21, p. 63-73, 2008.</w:t>
      </w:r>
    </w:p>
    <w:p w14:paraId="79E990CD" w14:textId="77777777" w:rsidR="00DF7E33" w:rsidRPr="00516A83" w:rsidRDefault="00DF7E33" w:rsidP="00046BC0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14:paraId="4B419202" w14:textId="441692B1" w:rsidR="00272EEB" w:rsidRPr="00516A83" w:rsidRDefault="008971F0" w:rsidP="00046B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  <w:highlight w:val="white"/>
        </w:rPr>
      </w:pPr>
      <w:r w:rsidRPr="00516A83">
        <w:rPr>
          <w:sz w:val="24"/>
          <w:szCs w:val="24"/>
          <w:shd w:val="clear" w:color="auto" w:fill="FFFFFF"/>
        </w:rPr>
        <w:t>MARTINS, Ana Paula Bortoletto et al. Participação crescente de produtos ultraprocessados na dieta brasileira (1987-2009). </w:t>
      </w:r>
      <w:r w:rsidRPr="00516A83">
        <w:rPr>
          <w:b/>
          <w:bCs/>
          <w:sz w:val="24"/>
          <w:szCs w:val="24"/>
          <w:shd w:val="clear" w:color="auto" w:fill="FFFFFF"/>
        </w:rPr>
        <w:t>Revista de Saúde Pública</w:t>
      </w:r>
      <w:r w:rsidRPr="00516A83">
        <w:rPr>
          <w:sz w:val="24"/>
          <w:szCs w:val="24"/>
          <w:shd w:val="clear" w:color="auto" w:fill="FFFFFF"/>
        </w:rPr>
        <w:t>, v. 47, p. 656-665, 2013.</w:t>
      </w:r>
      <w:r w:rsidRPr="00516A83">
        <w:rPr>
          <w:rFonts w:eastAsia="Arial"/>
          <w:sz w:val="24"/>
          <w:szCs w:val="24"/>
          <w:highlight w:val="white"/>
        </w:rPr>
        <w:t xml:space="preserve"> </w:t>
      </w:r>
      <w:r w:rsidR="00272EEB" w:rsidRPr="00516A83">
        <w:rPr>
          <w:rFonts w:eastAsia="Arial"/>
          <w:sz w:val="24"/>
          <w:szCs w:val="24"/>
          <w:highlight w:val="white"/>
        </w:rPr>
        <w:t>Disponível em: https://www.scielo.br/j/rsp/a/VxDyNppnrq8vv6jQtZfSsRP/?format=html&amp;lang=pt. Acesso em: 29 ago.</w:t>
      </w:r>
    </w:p>
    <w:p w14:paraId="05D88AE7" w14:textId="77777777" w:rsidR="00272EEB" w:rsidRPr="00516A83" w:rsidRDefault="00272EEB" w:rsidP="00046B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sz w:val="24"/>
          <w:szCs w:val="24"/>
          <w:highlight w:val="white"/>
        </w:rPr>
      </w:pPr>
    </w:p>
    <w:p w14:paraId="2D8B27CD" w14:textId="6C1ECA4D" w:rsidR="00272EEB" w:rsidRPr="00516A83" w:rsidRDefault="008971F0" w:rsidP="00046B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516A83">
        <w:rPr>
          <w:sz w:val="24"/>
          <w:szCs w:val="24"/>
          <w:shd w:val="clear" w:color="auto" w:fill="FFFFFF"/>
        </w:rPr>
        <w:t>MONTEIRO, Carlos Augusto et al. Ultra-processed foods, diet quality, and health using the NOVA classification system. </w:t>
      </w:r>
      <w:r w:rsidRPr="00516A83">
        <w:rPr>
          <w:b/>
          <w:bCs/>
          <w:sz w:val="24"/>
          <w:szCs w:val="24"/>
          <w:shd w:val="clear" w:color="auto" w:fill="FFFFFF"/>
        </w:rPr>
        <w:t>Rome: FAO</w:t>
      </w:r>
      <w:r w:rsidRPr="00516A83">
        <w:rPr>
          <w:sz w:val="24"/>
          <w:szCs w:val="24"/>
          <w:shd w:val="clear" w:color="auto" w:fill="FFFFFF"/>
        </w:rPr>
        <w:t>, v. 49, 2019.</w:t>
      </w:r>
      <w:r w:rsidRPr="00516A83">
        <w:rPr>
          <w:sz w:val="24"/>
          <w:szCs w:val="24"/>
          <w:shd w:val="clear" w:color="auto" w:fill="FFFFFF"/>
        </w:rPr>
        <w:t xml:space="preserve"> </w:t>
      </w:r>
      <w:r w:rsidR="00272EEB" w:rsidRPr="00516A83">
        <w:rPr>
          <w:sz w:val="24"/>
          <w:szCs w:val="24"/>
          <w:shd w:val="clear" w:color="auto" w:fill="FFFFFF"/>
        </w:rPr>
        <w:t>Disponível em:</w:t>
      </w:r>
      <w:r w:rsidRPr="00516A83">
        <w:rPr>
          <w:sz w:val="24"/>
          <w:szCs w:val="24"/>
          <w:shd w:val="clear" w:color="auto" w:fill="FFFFFF"/>
        </w:rPr>
        <w:t xml:space="preserve"> </w:t>
      </w:r>
      <w:r w:rsidR="00272EEB" w:rsidRPr="00516A83">
        <w:rPr>
          <w:sz w:val="24"/>
          <w:szCs w:val="24"/>
          <w:shd w:val="clear" w:color="auto" w:fill="FFFFFF"/>
        </w:rPr>
        <w:t>https://edisciplinas.usp.br/pluginfile.php/4867253/mod_resource/content/1/Ultraprocessed%20foods%20%20health.pdf. Acesso em: 28 ago.</w:t>
      </w:r>
    </w:p>
    <w:p w14:paraId="6B69C4AC" w14:textId="77777777" w:rsidR="00272EEB" w:rsidRPr="00516A83" w:rsidRDefault="00272EEB" w:rsidP="00046B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34598C59" w14:textId="77777777" w:rsidR="008971F0" w:rsidRPr="00516A83" w:rsidRDefault="00272EEB" w:rsidP="00046BC0">
      <w:pPr>
        <w:widowControl/>
        <w:shd w:val="clear" w:color="auto" w:fill="FFFFFF"/>
        <w:spacing w:line="360" w:lineRule="auto"/>
        <w:jc w:val="both"/>
        <w:rPr>
          <w:sz w:val="24"/>
          <w:szCs w:val="24"/>
          <w:lang w:val="pt-BR"/>
        </w:rPr>
      </w:pPr>
      <w:r w:rsidRPr="00516A83">
        <w:rPr>
          <w:sz w:val="24"/>
          <w:szCs w:val="24"/>
        </w:rPr>
        <w:t>RIBEIRO, Nathália Cristina Lemos. Gravidez na adolescência e obesidade: uma revisão</w:t>
      </w:r>
      <w:r w:rsidR="006D45D5" w:rsidRPr="00516A83">
        <w:rPr>
          <w:sz w:val="24"/>
          <w:szCs w:val="24"/>
        </w:rPr>
        <w:t xml:space="preserve"> </w:t>
      </w:r>
      <w:r w:rsidR="006D45D5" w:rsidRPr="00516A83">
        <w:rPr>
          <w:sz w:val="24"/>
          <w:szCs w:val="24"/>
          <w:lang w:val="pt-BR"/>
        </w:rPr>
        <w:t>acerca de duas questões complexas para a saúde da mulher. Dissertação (Especialização Atenção Básica em Saúde da Família) - UFMG. Universidade Federal de Minas Gerais, Campos Gerais/MG.  Disponível em:&lt;</w:t>
      </w:r>
      <w:r w:rsidR="008971F0" w:rsidRPr="00516A83">
        <w:rPr>
          <w:sz w:val="24"/>
          <w:szCs w:val="24"/>
          <w:shd w:val="clear" w:color="auto" w:fill="F9F2F4"/>
        </w:rPr>
        <w:t>http://hdl.handle.net/1843/BUBD-9EGFM9</w:t>
      </w:r>
      <w:r w:rsidR="006D45D5" w:rsidRPr="00516A83">
        <w:rPr>
          <w:sz w:val="24"/>
          <w:szCs w:val="24"/>
          <w:lang w:val="pt-BR"/>
        </w:rPr>
        <w:t>&gt;. Acesso em: 30 ago.</w:t>
      </w:r>
    </w:p>
    <w:p w14:paraId="7E008C94" w14:textId="77777777" w:rsidR="008971F0" w:rsidRPr="00516A83" w:rsidRDefault="008971F0" w:rsidP="00046BC0">
      <w:pPr>
        <w:widowControl/>
        <w:shd w:val="clear" w:color="auto" w:fill="FFFFFF"/>
        <w:spacing w:line="360" w:lineRule="auto"/>
        <w:jc w:val="both"/>
        <w:rPr>
          <w:sz w:val="24"/>
          <w:szCs w:val="24"/>
          <w:lang w:val="pt-BR"/>
        </w:rPr>
      </w:pPr>
    </w:p>
    <w:p w14:paraId="05F95685" w14:textId="4548E14C" w:rsidR="00272EEB" w:rsidRPr="00516A83" w:rsidRDefault="008971F0" w:rsidP="00046BC0">
      <w:pPr>
        <w:widowControl/>
        <w:shd w:val="clear" w:color="auto" w:fill="FFFFFF"/>
        <w:spacing w:line="360" w:lineRule="auto"/>
        <w:jc w:val="both"/>
        <w:rPr>
          <w:rFonts w:eastAsia="TimesNewRomanPSMT"/>
          <w:sz w:val="24"/>
          <w:szCs w:val="24"/>
        </w:rPr>
      </w:pPr>
      <w:r w:rsidRPr="00516A83">
        <w:rPr>
          <w:sz w:val="24"/>
          <w:szCs w:val="24"/>
          <w:shd w:val="clear" w:color="auto" w:fill="FFFFFF"/>
        </w:rPr>
        <w:t xml:space="preserve">ROSSI, Luciana; CARUSO, Lúcia; GALANTE, Andréa Polo. </w:t>
      </w:r>
      <w:r w:rsidRPr="003C652F">
        <w:rPr>
          <w:b/>
          <w:bCs/>
          <w:sz w:val="24"/>
          <w:szCs w:val="24"/>
          <w:shd w:val="clear" w:color="auto" w:fill="FFFFFF"/>
        </w:rPr>
        <w:t>Avaliação nutricional: novas perspectivas</w:t>
      </w:r>
      <w:r w:rsidRPr="00516A83">
        <w:rPr>
          <w:sz w:val="24"/>
          <w:szCs w:val="24"/>
          <w:shd w:val="clear" w:color="auto" w:fill="FFFFFF"/>
        </w:rPr>
        <w:t>.</w:t>
      </w:r>
      <w:r w:rsidRPr="00516A83">
        <w:rPr>
          <w:sz w:val="24"/>
          <w:szCs w:val="24"/>
          <w:shd w:val="clear" w:color="auto" w:fill="FFFFFF"/>
        </w:rPr>
        <w:t>- 2. Ed. – Rio de Janeiro: Guanabara Koongan, 2015.</w:t>
      </w:r>
      <w:r w:rsidRPr="00516A83">
        <w:rPr>
          <w:sz w:val="24"/>
          <w:szCs w:val="24"/>
          <w:shd w:val="clear" w:color="auto" w:fill="FFFFFF"/>
        </w:rPr>
        <w:t xml:space="preserve"> </w:t>
      </w:r>
    </w:p>
    <w:p w14:paraId="5FC7D60C" w14:textId="77777777" w:rsidR="00272EEB" w:rsidRPr="00516A83" w:rsidRDefault="00272EEB" w:rsidP="00046BC0">
      <w:pPr>
        <w:widowControl/>
        <w:spacing w:after="200" w:line="360" w:lineRule="auto"/>
        <w:contextualSpacing/>
        <w:jc w:val="both"/>
        <w:rPr>
          <w:rFonts w:eastAsia="TimesNewRomanPSMT"/>
          <w:sz w:val="24"/>
          <w:szCs w:val="24"/>
        </w:rPr>
      </w:pPr>
    </w:p>
    <w:p w14:paraId="1C77CE4F" w14:textId="3B325F80" w:rsidR="00046BC0" w:rsidRPr="00516A83" w:rsidRDefault="00272EEB" w:rsidP="00046BC0">
      <w:pPr>
        <w:widowControl/>
        <w:spacing w:after="200" w:line="360" w:lineRule="auto"/>
        <w:contextualSpacing/>
        <w:jc w:val="both"/>
        <w:rPr>
          <w:sz w:val="24"/>
          <w:szCs w:val="24"/>
          <w:lang w:val="en-US"/>
        </w:rPr>
      </w:pPr>
      <w:r w:rsidRPr="00516A83">
        <w:rPr>
          <w:sz w:val="24"/>
          <w:szCs w:val="24"/>
          <w:lang w:val="en-US"/>
        </w:rPr>
        <w:t xml:space="preserve">STORY, M. Adolescent </w:t>
      </w:r>
      <w:proofErr w:type="gramStart"/>
      <w:r w:rsidRPr="00516A83">
        <w:rPr>
          <w:sz w:val="24"/>
          <w:szCs w:val="24"/>
          <w:lang w:val="en-US"/>
        </w:rPr>
        <w:t>life-style</w:t>
      </w:r>
      <w:proofErr w:type="gramEnd"/>
      <w:r w:rsidRPr="00516A83">
        <w:rPr>
          <w:sz w:val="24"/>
          <w:szCs w:val="24"/>
          <w:lang w:val="en-US"/>
        </w:rPr>
        <w:t xml:space="preserve"> and eating behavior.</w:t>
      </w:r>
      <w:r w:rsidR="00A34BC9" w:rsidRPr="00516A83">
        <w:rPr>
          <w:sz w:val="24"/>
          <w:szCs w:val="24"/>
          <w:lang w:val="en-US"/>
        </w:rPr>
        <w:t xml:space="preserve"> </w:t>
      </w:r>
      <w:r w:rsidRPr="00516A83">
        <w:rPr>
          <w:b/>
          <w:bCs/>
          <w:sz w:val="24"/>
          <w:szCs w:val="24"/>
          <w:lang w:val="en-US"/>
        </w:rPr>
        <w:t>Nutrition in adolescence</w:t>
      </w:r>
      <w:r w:rsidRPr="00516A83">
        <w:rPr>
          <w:sz w:val="24"/>
          <w:szCs w:val="24"/>
          <w:lang w:val="en-US"/>
        </w:rPr>
        <w:t>, p. 77-103, 1984</w:t>
      </w:r>
      <w:r w:rsidR="00046BC0" w:rsidRPr="00516A83">
        <w:rPr>
          <w:sz w:val="24"/>
          <w:szCs w:val="24"/>
          <w:lang w:val="en-US"/>
        </w:rPr>
        <w:t>.</w:t>
      </w:r>
    </w:p>
    <w:p w14:paraId="0918A07E" w14:textId="2E632500" w:rsidR="00046BC0" w:rsidRPr="00516A83" w:rsidRDefault="00272EEB" w:rsidP="00046BC0">
      <w:pPr>
        <w:pStyle w:val="Default"/>
        <w:spacing w:line="360" w:lineRule="auto"/>
        <w:jc w:val="both"/>
        <w:rPr>
          <w:color w:val="auto"/>
          <w:shd w:val="clear" w:color="auto" w:fill="FFFFFF"/>
        </w:rPr>
      </w:pPr>
      <w:r w:rsidRPr="00516A83">
        <w:rPr>
          <w:color w:val="auto"/>
          <w:shd w:val="clear" w:color="auto" w:fill="FFFFFF"/>
        </w:rPr>
        <w:t xml:space="preserve">VASCONCELOS, M. J. O. B. et al. </w:t>
      </w:r>
      <w:r w:rsidRPr="00516A83">
        <w:rPr>
          <w:b/>
          <w:bCs/>
          <w:color w:val="auto"/>
          <w:shd w:val="clear" w:color="auto" w:fill="FFFFFF"/>
        </w:rPr>
        <w:t>Nutrição clínica: obstetrícia e pediatria</w:t>
      </w:r>
      <w:r w:rsidRPr="00516A83">
        <w:rPr>
          <w:color w:val="auto"/>
          <w:shd w:val="clear" w:color="auto" w:fill="FFFFFF"/>
        </w:rPr>
        <w:t xml:space="preserve">. Rio de janeiro: </w:t>
      </w:r>
      <w:proofErr w:type="spellStart"/>
      <w:r w:rsidRPr="00516A83">
        <w:rPr>
          <w:color w:val="auto"/>
          <w:shd w:val="clear" w:color="auto" w:fill="FFFFFF"/>
        </w:rPr>
        <w:t>Medbook</w:t>
      </w:r>
      <w:proofErr w:type="spellEnd"/>
      <w:r w:rsidRPr="00516A83">
        <w:rPr>
          <w:color w:val="auto"/>
          <w:shd w:val="clear" w:color="auto" w:fill="FFFFFF"/>
        </w:rPr>
        <w:t>, 2011.</w:t>
      </w:r>
    </w:p>
    <w:p w14:paraId="2C8F42AC" w14:textId="77777777" w:rsidR="00046BC0" w:rsidRPr="00516A83" w:rsidRDefault="00046BC0" w:rsidP="00046BC0">
      <w:pPr>
        <w:pStyle w:val="Default"/>
        <w:spacing w:line="360" w:lineRule="auto"/>
        <w:jc w:val="both"/>
        <w:rPr>
          <w:color w:val="auto"/>
          <w:shd w:val="clear" w:color="auto" w:fill="FFFFFF"/>
        </w:rPr>
      </w:pPr>
    </w:p>
    <w:p w14:paraId="54470498" w14:textId="04C6D260" w:rsidR="00272EEB" w:rsidRPr="00516A83" w:rsidRDefault="00046BC0" w:rsidP="00046BC0">
      <w:pPr>
        <w:pStyle w:val="Default"/>
        <w:spacing w:line="360" w:lineRule="auto"/>
        <w:jc w:val="both"/>
        <w:rPr>
          <w:color w:val="auto"/>
          <w:shd w:val="clear" w:color="auto" w:fill="FFFFFF"/>
        </w:rPr>
      </w:pPr>
      <w:r w:rsidRPr="00516A83">
        <w:rPr>
          <w:color w:val="auto"/>
          <w:shd w:val="clear" w:color="auto" w:fill="FFFFFF"/>
        </w:rPr>
        <w:t xml:space="preserve">WHO, Expert. </w:t>
      </w:r>
      <w:proofErr w:type="spellStart"/>
      <w:r w:rsidRPr="00516A83">
        <w:rPr>
          <w:color w:val="auto"/>
          <w:shd w:val="clear" w:color="auto" w:fill="FFFFFF"/>
        </w:rPr>
        <w:t>Committee</w:t>
      </w:r>
      <w:proofErr w:type="spellEnd"/>
      <w:r w:rsidRPr="00516A83">
        <w:rPr>
          <w:color w:val="auto"/>
          <w:shd w:val="clear" w:color="auto" w:fill="FFFFFF"/>
        </w:rPr>
        <w:t xml:space="preserve"> </w:t>
      </w:r>
      <w:proofErr w:type="spellStart"/>
      <w:r w:rsidRPr="00516A83">
        <w:rPr>
          <w:color w:val="auto"/>
          <w:shd w:val="clear" w:color="auto" w:fill="FFFFFF"/>
        </w:rPr>
        <w:t>Physical</w:t>
      </w:r>
      <w:proofErr w:type="spellEnd"/>
      <w:r w:rsidRPr="00516A83">
        <w:rPr>
          <w:color w:val="auto"/>
          <w:shd w:val="clear" w:color="auto" w:fill="FFFFFF"/>
        </w:rPr>
        <w:t xml:space="preserve"> Status: The Use </w:t>
      </w:r>
      <w:proofErr w:type="spellStart"/>
      <w:r w:rsidRPr="00516A83">
        <w:rPr>
          <w:color w:val="auto"/>
          <w:shd w:val="clear" w:color="auto" w:fill="FFFFFF"/>
        </w:rPr>
        <w:t>And</w:t>
      </w:r>
      <w:proofErr w:type="spellEnd"/>
      <w:r w:rsidRPr="00516A83">
        <w:rPr>
          <w:color w:val="auto"/>
          <w:shd w:val="clear" w:color="auto" w:fill="FFFFFF"/>
        </w:rPr>
        <w:t xml:space="preserve"> </w:t>
      </w:r>
      <w:proofErr w:type="spellStart"/>
      <w:r w:rsidRPr="00516A83">
        <w:rPr>
          <w:color w:val="auto"/>
          <w:shd w:val="clear" w:color="auto" w:fill="FFFFFF"/>
        </w:rPr>
        <w:t>Interpretation</w:t>
      </w:r>
      <w:proofErr w:type="spellEnd"/>
      <w:r w:rsidRPr="00516A83">
        <w:rPr>
          <w:color w:val="auto"/>
          <w:shd w:val="clear" w:color="auto" w:fill="FFFFFF"/>
        </w:rPr>
        <w:t xml:space="preserve"> </w:t>
      </w:r>
      <w:proofErr w:type="spellStart"/>
      <w:r w:rsidRPr="00516A83">
        <w:rPr>
          <w:color w:val="auto"/>
          <w:shd w:val="clear" w:color="auto" w:fill="FFFFFF"/>
        </w:rPr>
        <w:t>Of</w:t>
      </w:r>
      <w:proofErr w:type="spellEnd"/>
      <w:r w:rsidRPr="00516A83">
        <w:rPr>
          <w:color w:val="auto"/>
          <w:shd w:val="clear" w:color="auto" w:fill="FFFFFF"/>
        </w:rPr>
        <w:t xml:space="preserve"> </w:t>
      </w:r>
      <w:proofErr w:type="spellStart"/>
      <w:r w:rsidRPr="00516A83">
        <w:rPr>
          <w:color w:val="auto"/>
          <w:shd w:val="clear" w:color="auto" w:fill="FFFFFF"/>
        </w:rPr>
        <w:t>Anthopometry</w:t>
      </w:r>
      <w:proofErr w:type="spellEnd"/>
      <w:r w:rsidRPr="00516A83">
        <w:rPr>
          <w:color w:val="auto"/>
          <w:shd w:val="clear" w:color="auto" w:fill="FFFFFF"/>
        </w:rPr>
        <w:t xml:space="preserve">: </w:t>
      </w:r>
      <w:proofErr w:type="spellStart"/>
      <w:r w:rsidRPr="00516A83">
        <w:rPr>
          <w:color w:val="auto"/>
          <w:shd w:val="clear" w:color="auto" w:fill="FFFFFF"/>
        </w:rPr>
        <w:t>Report</w:t>
      </w:r>
      <w:proofErr w:type="spellEnd"/>
      <w:r w:rsidRPr="00516A83">
        <w:rPr>
          <w:color w:val="auto"/>
          <w:shd w:val="clear" w:color="auto" w:fill="FFFFFF"/>
        </w:rPr>
        <w:t xml:space="preserve"> </w:t>
      </w:r>
      <w:proofErr w:type="spellStart"/>
      <w:r w:rsidRPr="00516A83">
        <w:rPr>
          <w:color w:val="auto"/>
          <w:shd w:val="clear" w:color="auto" w:fill="FFFFFF"/>
        </w:rPr>
        <w:t>of</w:t>
      </w:r>
      <w:proofErr w:type="spellEnd"/>
      <w:r w:rsidRPr="00516A83">
        <w:rPr>
          <w:color w:val="auto"/>
          <w:shd w:val="clear" w:color="auto" w:fill="FFFFFF"/>
        </w:rPr>
        <w:t xml:space="preserve"> a WHO Expert </w:t>
      </w:r>
      <w:proofErr w:type="spellStart"/>
      <w:r w:rsidRPr="00516A83">
        <w:rPr>
          <w:color w:val="auto"/>
          <w:shd w:val="clear" w:color="auto" w:fill="FFFFFF"/>
        </w:rPr>
        <w:t>Committee</w:t>
      </w:r>
      <w:proofErr w:type="spellEnd"/>
      <w:r w:rsidRPr="00516A83">
        <w:rPr>
          <w:color w:val="auto"/>
          <w:shd w:val="clear" w:color="auto" w:fill="FFFFFF"/>
        </w:rPr>
        <w:t>. </w:t>
      </w:r>
      <w:r w:rsidRPr="00516A83">
        <w:rPr>
          <w:b/>
          <w:bCs/>
          <w:color w:val="auto"/>
          <w:shd w:val="clear" w:color="auto" w:fill="FFFFFF"/>
        </w:rPr>
        <w:t xml:space="preserve">WHO </w:t>
      </w:r>
      <w:proofErr w:type="spellStart"/>
      <w:r w:rsidRPr="00516A83">
        <w:rPr>
          <w:b/>
          <w:bCs/>
          <w:color w:val="auto"/>
          <w:shd w:val="clear" w:color="auto" w:fill="FFFFFF"/>
        </w:rPr>
        <w:t>Technical</w:t>
      </w:r>
      <w:proofErr w:type="spellEnd"/>
      <w:r w:rsidRPr="00516A83">
        <w:rPr>
          <w:b/>
          <w:bCs/>
          <w:color w:val="auto"/>
          <w:shd w:val="clear" w:color="auto" w:fill="FFFFFF"/>
        </w:rPr>
        <w:t xml:space="preserve"> </w:t>
      </w:r>
      <w:proofErr w:type="spellStart"/>
      <w:r w:rsidRPr="00516A83">
        <w:rPr>
          <w:b/>
          <w:bCs/>
          <w:color w:val="auto"/>
          <w:shd w:val="clear" w:color="auto" w:fill="FFFFFF"/>
        </w:rPr>
        <w:t>Report</w:t>
      </w:r>
      <w:proofErr w:type="spellEnd"/>
      <w:r w:rsidRPr="00516A83">
        <w:rPr>
          <w:b/>
          <w:bCs/>
          <w:color w:val="auto"/>
          <w:shd w:val="clear" w:color="auto" w:fill="FFFFFF"/>
        </w:rPr>
        <w:t xml:space="preserve"> Series</w:t>
      </w:r>
      <w:r w:rsidRPr="00516A83">
        <w:rPr>
          <w:color w:val="auto"/>
          <w:shd w:val="clear" w:color="auto" w:fill="FFFFFF"/>
        </w:rPr>
        <w:t>, v. 854, 1995.</w:t>
      </w:r>
    </w:p>
    <w:p w14:paraId="5A81533D" w14:textId="77777777" w:rsidR="00046BC0" w:rsidRPr="00516A83" w:rsidRDefault="00046BC0" w:rsidP="00046BC0">
      <w:pPr>
        <w:pStyle w:val="Default"/>
        <w:spacing w:line="360" w:lineRule="auto"/>
        <w:jc w:val="both"/>
        <w:rPr>
          <w:color w:val="auto"/>
          <w:shd w:val="clear" w:color="auto" w:fill="FFFFFF"/>
        </w:rPr>
      </w:pPr>
    </w:p>
    <w:p w14:paraId="5E65D6D7" w14:textId="2321A5CF" w:rsidR="00A633E1" w:rsidRPr="00516A83" w:rsidRDefault="00046BC0" w:rsidP="00046B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4"/>
          <w:szCs w:val="24"/>
          <w:shd w:val="clear" w:color="auto" w:fill="FFFFFF"/>
        </w:rPr>
      </w:pPr>
      <w:r w:rsidRPr="00516A83">
        <w:rPr>
          <w:sz w:val="24"/>
          <w:szCs w:val="24"/>
          <w:shd w:val="clear" w:color="auto" w:fill="FFFFFF"/>
        </w:rPr>
        <w:t>WORLD HEALTH ORGANIZATION et al. </w:t>
      </w:r>
      <w:r w:rsidRPr="00516A83">
        <w:rPr>
          <w:b/>
          <w:bCs/>
          <w:sz w:val="24"/>
          <w:szCs w:val="24"/>
          <w:shd w:val="clear" w:color="auto" w:fill="FFFFFF"/>
        </w:rPr>
        <w:t>Young people's health-a challenge for society: report of a WHO Study Group on Young People and" Health for All by the Year 2000"[meeting held in Geneva from 4 to 8 June 1984]</w:t>
      </w:r>
      <w:r w:rsidRPr="00516A83">
        <w:rPr>
          <w:sz w:val="24"/>
          <w:szCs w:val="24"/>
          <w:shd w:val="clear" w:color="auto" w:fill="FFFFFF"/>
        </w:rPr>
        <w:t>. World Health Organization, 1986.</w:t>
      </w:r>
    </w:p>
    <w:sectPr w:rsidR="00A633E1" w:rsidRPr="00516A83" w:rsidSect="000C3CDC">
      <w:headerReference w:type="default" r:id="rId10"/>
      <w:pgSz w:w="1192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9FDA" w14:textId="77777777" w:rsidR="00A32F56" w:rsidRDefault="00A32F56">
      <w:r>
        <w:separator/>
      </w:r>
    </w:p>
  </w:endnote>
  <w:endnote w:type="continuationSeparator" w:id="0">
    <w:p w14:paraId="59622674" w14:textId="77777777" w:rsidR="00A32F56" w:rsidRDefault="00A3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CCDA" w14:textId="77777777" w:rsidR="00A32F56" w:rsidRDefault="00A32F56">
      <w:r>
        <w:separator/>
      </w:r>
    </w:p>
  </w:footnote>
  <w:footnote w:type="continuationSeparator" w:id="0">
    <w:p w14:paraId="1F142DA2" w14:textId="77777777" w:rsidR="00A32F56" w:rsidRDefault="00A3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B56F" w14:textId="77777777" w:rsidR="00BB7796" w:rsidRDefault="00BB7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200B311A" w14:textId="77777777" w:rsidR="00BB7796" w:rsidRDefault="00BB7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3E1A"/>
    <w:multiLevelType w:val="hybridMultilevel"/>
    <w:tmpl w:val="EA22A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B7520"/>
    <w:multiLevelType w:val="multilevel"/>
    <w:tmpl w:val="2DF0BB26"/>
    <w:lvl w:ilvl="0">
      <w:start w:val="1"/>
      <w:numFmt w:val="bullet"/>
      <w:lvlText w:val="●"/>
      <w:lvlJc w:val="left"/>
      <w:pPr>
        <w:ind w:left="1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0" w:hanging="360"/>
      </w:pPr>
      <w:rPr>
        <w:rFonts w:ascii="Noto Sans Symbols" w:eastAsia="Noto Sans Symbols" w:hAnsi="Noto Sans Symbols" w:cs="Noto Sans Symbols"/>
      </w:rPr>
    </w:lvl>
  </w:abstractNum>
  <w:num w:numId="1" w16cid:durableId="209994615">
    <w:abstractNumId w:val="1"/>
  </w:num>
  <w:num w:numId="2" w16cid:durableId="39940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96"/>
    <w:rsid w:val="00046BC0"/>
    <w:rsid w:val="00086517"/>
    <w:rsid w:val="000C3CDC"/>
    <w:rsid w:val="001D10F2"/>
    <w:rsid w:val="00205492"/>
    <w:rsid w:val="002728AD"/>
    <w:rsid w:val="00272EEB"/>
    <w:rsid w:val="00294B69"/>
    <w:rsid w:val="002F24DD"/>
    <w:rsid w:val="0037608B"/>
    <w:rsid w:val="003802B5"/>
    <w:rsid w:val="003C652F"/>
    <w:rsid w:val="00516A83"/>
    <w:rsid w:val="005C0A90"/>
    <w:rsid w:val="005F28F1"/>
    <w:rsid w:val="00686848"/>
    <w:rsid w:val="006D45D5"/>
    <w:rsid w:val="00725823"/>
    <w:rsid w:val="00782068"/>
    <w:rsid w:val="007A1054"/>
    <w:rsid w:val="007F6529"/>
    <w:rsid w:val="008620B8"/>
    <w:rsid w:val="00873DA8"/>
    <w:rsid w:val="008971F0"/>
    <w:rsid w:val="008C2DF7"/>
    <w:rsid w:val="008D2651"/>
    <w:rsid w:val="009A3E14"/>
    <w:rsid w:val="009B1846"/>
    <w:rsid w:val="009F10A9"/>
    <w:rsid w:val="00A32F56"/>
    <w:rsid w:val="00A34BC9"/>
    <w:rsid w:val="00A633E1"/>
    <w:rsid w:val="00A972F2"/>
    <w:rsid w:val="00AC38F6"/>
    <w:rsid w:val="00BA052C"/>
    <w:rsid w:val="00BB7796"/>
    <w:rsid w:val="00BD56B2"/>
    <w:rsid w:val="00BF2861"/>
    <w:rsid w:val="00C05DD6"/>
    <w:rsid w:val="00CA59AC"/>
    <w:rsid w:val="00CC167E"/>
    <w:rsid w:val="00D56C67"/>
    <w:rsid w:val="00DF7E33"/>
    <w:rsid w:val="00ED0107"/>
    <w:rsid w:val="00F66316"/>
    <w:rsid w:val="00FA658B"/>
    <w:rsid w:val="00F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B194"/>
  <w15:docId w15:val="{29E759D4-8955-467A-B1D7-8F109A4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semiHidden/>
    <w:unhideWhenUsed/>
    <w:qFormat/>
    <w:pPr>
      <w:ind w:left="80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table" w:styleId="SimplesTabela2">
    <w:name w:val="Plain Table 2"/>
    <w:basedOn w:val="Tabelanormal"/>
    <w:uiPriority w:val="42"/>
    <w:rsid w:val="00BF7CEB"/>
    <w:pPr>
      <w:widowControl/>
    </w:pPr>
    <w:rPr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686848"/>
    <w:pPr>
      <w:widowControl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cielo.br/j/rn/a/ZGqHBMRmnmktbsC6WCRwQ7M/abstract/?lang=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Emhtm0JuEImlW5eiSXVobYHTA==">AMUW2mVIezAkjpfDcLyd/xpNn1NOAJ2Gi7ZfCsdnqsTv0T9RUhHwZm/eRibnKMkF9hJffJohFghI2mjSNcP2iqXlsxGw+kW/Uq7FSMkbbDomZlIg1L9Qq7o=</go:docsCustomData>
</go:gDocsCustomXmlDataStorage>
</file>

<file path=customXml/itemProps1.xml><?xml version="1.0" encoding="utf-8"?>
<ds:datastoreItem xmlns:ds="http://schemas.openxmlformats.org/officeDocument/2006/customXml" ds:itemID="{72D89CA6-FC1C-4CC0-B97B-6B498D708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2533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Bezerra</dc:creator>
  <cp:lastModifiedBy>Roberta Bezerra</cp:lastModifiedBy>
  <cp:revision>2</cp:revision>
  <dcterms:created xsi:type="dcterms:W3CDTF">2022-09-04T20:54:00Z</dcterms:created>
  <dcterms:modified xsi:type="dcterms:W3CDTF">2022-09-04T20:54:00Z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