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56200" w:rsidRDefault="00FB0E48">
      <w:pPr>
        <w:shd w:val="clear" w:color="auto" w:fill="FFFFFF"/>
        <w:spacing w:before="240" w:after="16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ATENDIMENTO HEMOTERÁPICO AO PACIENTE DO TRANSPLANTE HEPÁTICO: CONSTRUÇÃO DE PROTOCOLO A PARTIR DE REVISÃO DE ESCOPO </w:t>
      </w:r>
    </w:p>
    <w:p w14:paraId="00000002" w14:textId="77777777" w:rsidR="00D56200" w:rsidRDefault="00FB0E4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Betina Savi Goetze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Lydia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Oliveira Mendes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Patrícia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Karolayn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Matos Nobre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</w:rPr>
        <w:t>Neide da Silva Knihs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</w:rPr>
        <w:t>Aline Lima Pestana Magalhães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00000003" w14:textId="77777777" w:rsidR="00D56200" w:rsidRDefault="00FB0E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1,2,3 </w:t>
      </w:r>
      <w:r>
        <w:rPr>
          <w:rFonts w:ascii="Times New Roman" w:eastAsia="Times New Roman" w:hAnsi="Times New Roman" w:cs="Times New Roman"/>
          <w:sz w:val="24"/>
          <w:szCs w:val="24"/>
        </w:rPr>
        <w:t>Graduandas do curso de Enfermagem da Universidade Federal de Santa Catarina;</w:t>
      </w:r>
    </w:p>
    <w:p w14:paraId="00000004" w14:textId="77777777" w:rsidR="00D56200" w:rsidRDefault="00FB0E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Enfermeira. Docente do Curso de Graduação em Enfermagem e do Programa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Pós graduação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Gestão do Cuidado em Enfermagem - mod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alidade profissional; </w:t>
      </w:r>
    </w:p>
    <w:p w14:paraId="00000005" w14:textId="77777777" w:rsidR="00D56200" w:rsidRDefault="00FB0E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Ciências da Saúde</w:t>
      </w:r>
    </w:p>
    <w:p w14:paraId="00000006" w14:textId="77777777" w:rsidR="00D56200" w:rsidRDefault="00FB0E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para correspondência: </w:t>
      </w:r>
      <w:r>
        <w:rPr>
          <w:rFonts w:ascii="Times New Roman" w:eastAsia="Times New Roman" w:hAnsi="Times New Roman" w:cs="Times New Roman"/>
          <w:sz w:val="24"/>
          <w:szCs w:val="24"/>
        </w:rPr>
        <w:t>betina.goetze00@gmail.com.</w:t>
      </w:r>
    </w:p>
    <w:p w14:paraId="00000007" w14:textId="77777777" w:rsidR="00D56200" w:rsidRDefault="00FB0E4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8" w14:textId="77777777" w:rsidR="00D56200" w:rsidRDefault="00FB0E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transplante hepático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uma intervenção cirúrgica de grande porte e complexidade,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 grande risco de perda de fluídos e sangue, já que o fígado está relacionado ao mecanismo da coagulação sanguínea.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Mapear a produção do conhecimento disponível na literatura acerca do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paciente adulto em processo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transplante hepático.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Método: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pesquisa metodológica, em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desenvolveu-se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como primeira etapa, uma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scoping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Para coleta de dados utilizou-se os descritores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Hemotherapy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Service,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Foram incluíd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estudos disponíveis em doze bases de dados, em Inglês,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Português e Espanhol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sem limite de tempo das publicações.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Dos 17 artigos analisados,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identificou-se que para 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os pacientes do transplante hepático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devem ser avaliados periodicamente, no pré-operatório, quanto aos </w:t>
      </w:r>
      <w:r>
        <w:rPr>
          <w:rFonts w:ascii="Times New Roman" w:eastAsia="Times New Roman" w:hAnsi="Times New Roman" w:cs="Times New Roman"/>
          <w:sz w:val="24"/>
          <w:szCs w:val="24"/>
        </w:rPr>
        <w:t>exames laboratoriais, etiologia da doença, estilo de vida para evitar a perda sanguínea durante o procedimento. O maior tempo do procedimento cirúrgico, tempo de isquemia fria, condições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armazenamento do enxerto e hipertensão portal prévia são características da fase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podem aumentar a necessidade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Foram destacadas nos estudos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Tromboelastografia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Tromboelastometria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tecnologias favoráveis para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manejo do tratamento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Foi destacado a quantidade de transfusão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hemocomponentes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centro cirúrgico, UTI ou durante toda a internação hospitalar do paciente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o aumento da taxa de mortalidade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intra-hospit</w:t>
      </w:r>
      <w:r>
        <w:rPr>
          <w:rFonts w:ascii="Times New Roman" w:eastAsia="Times New Roman" w:hAnsi="Times New Roman" w:cs="Times New Roman"/>
          <w:sz w:val="24"/>
          <w:szCs w:val="24"/>
        </w:rPr>
        <w:t>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estudo permitiu identificar 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elementos/variáveis que sustentarão o protocolo do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paciente candidato ao transplante hepático, visando minimizar as complicações hemorrágicas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possíveis 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corrências, além de melhorar o gerenciamento dos recursos de transfusão deste período, bem como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segurança ao paciente. </w:t>
      </w:r>
    </w:p>
    <w:p w14:paraId="774604FD" w14:textId="77777777" w:rsidR="005C6A79" w:rsidRDefault="00FB0E48" w:rsidP="005C6A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Protocolos; Serviço de Hemoterapia; Transplante de fígado; Segurança do Paciente; Enfermagem</w:t>
      </w:r>
    </w:p>
    <w:p w14:paraId="0000000A" w14:textId="227ED88B" w:rsidR="00D56200" w:rsidRPr="005C6A79" w:rsidRDefault="00FB0E48" w:rsidP="005C6A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B" w14:textId="77777777" w:rsidR="00D56200" w:rsidRDefault="00FB0E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 fígado é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maior órgão sólido do corpo humano e está diretamente ligado à coagulação sanguínea.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fatores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-coagulantes e inibidores da coagulação são produzidos nos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hepatócitos e devido ao comprometimento da função hepática, o indivíduo que será submetido ao tran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splante hepático, quase sempre apresentará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coagulopatias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Associando esse problema ao procedimento de grande complexidade, o cuidado e o manuseio com a perda de sangue é essencial, pois, em alguns casos, a terapia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faz necessária para dar 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eguimento à vida do paciente, apesar dos riscos de reações hemolíticas, alérgicas e infecciosas (SINGH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D56200" w:rsidRDefault="00FB0E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quantidade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hemoterápicos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transfundidos dentro de centro cirúrgico depende do comprometimento em que o fígado se encontra. Sendo assim, o banco de sangue ou agência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essencial na prestação de serviço de apoio a esses procedimentos, atrav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és dos atendimentos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hemoterápicos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garantindo uma maior segurança no procedimento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(ESPINDOLA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., 2020)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D" w14:textId="77777777" w:rsidR="00D56200" w:rsidRDefault="00FB0E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Portanto, esta pesquisa será norteada pelo seguinte questionamento: Como está descrito na literatura científica 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aos pacien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tes adultos em processo de transplante hepático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E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OBJETIVO(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S)</w:t>
      </w:r>
    </w:p>
    <w:p w14:paraId="0000000F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Mapear o conhecimento disponível na literatura acerca do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paciente adulto do transplante hepático.</w:t>
      </w:r>
    </w:p>
    <w:p w14:paraId="00000010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0000011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scoping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conduzid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 acordo com a metodologia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Joanna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Briggs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com a extensão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checklist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Preferred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Metaanalyses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Scoping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determinar os itens-chaves a serem relatados neste tipo de estudo (MCGOWAN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., 2020).</w:t>
      </w:r>
    </w:p>
    <w:p w14:paraId="00000012" w14:textId="77777777" w:rsidR="00D56200" w:rsidRDefault="00FB0E48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Critérios de inclusão e exclusão</w:t>
      </w:r>
    </w:p>
    <w:p w14:paraId="00000013" w14:textId="77777777" w:rsidR="00D56200" w:rsidRDefault="00FB0E48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revisão considerou estudos que incluem 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pacientes adultos, com 18 anos de idade ou mais, de ambos os sexos, associados ao transplante de fígado. Estudos relacionados com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pacientes com transplante</w:t>
      </w:r>
      <w:r>
        <w:rPr>
          <w:rFonts w:ascii="Times New Roman" w:eastAsia="Times New Roman" w:hAnsi="Times New Roman" w:cs="Times New Roman"/>
          <w:sz w:val="24"/>
          <w:szCs w:val="24"/>
        </w:rPr>
        <w:t>s conjugados, transplantes pediátricos e em pessoas testemunhas de Jeová foram excluídos.</w:t>
      </w:r>
    </w:p>
    <w:p w14:paraId="00000014" w14:textId="77777777" w:rsidR="00D56200" w:rsidRDefault="00FB0E4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Estratégia de busca e identificação dos estudos</w:t>
      </w:r>
    </w:p>
    <w:p w14:paraId="00000015" w14:textId="77777777" w:rsidR="00D56200" w:rsidRDefault="00FB0E48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Foram considerados estudos quantitativos e/ou qualitativos, disponíveis na íntegra, nas seguintes bases de dados: MEDL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CINAHL, Literatura Latino-Americana e do Caribe (LILACS), via Biblioteca Virtual em Saúde (BVS),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Web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Science,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Embase, Biblioteca Cochrane. A literatura cinzenta foi pesquisada nas bases de dados Portal de Teses e Disserta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ções da Coordenação de Aperfeiçoamento de Pessoal de Nível Superior (CAPES), Biblioteca Digital de Teses e Dissertações (BDTD),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teses e dissertações (PQDT),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Digital Library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(NDLTD).</w:t>
      </w:r>
    </w:p>
    <w:p w14:paraId="00000016" w14:textId="77777777" w:rsidR="00D56200" w:rsidRDefault="00FB0E48">
      <w:pPr>
        <w:spacing w:after="20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Utilizou-se a estratégia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 em três etapas usando os seguintes descritores, em inglês: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Hemotherapy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Service,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buscando analisar as palavras contidas no título e resumos que foram usadas para descrever o artigo.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segunda etapa, utilizou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-se todas as palavras-chave identificadas, bem como os sinônimos, associados aos operadores booleanos AND e OR, aplicando os filtros de idioma inglês, </w:t>
      </w:r>
      <w:r>
        <w:rPr>
          <w:rFonts w:ascii="Times New Roman" w:eastAsia="Times New Roman" w:hAnsi="Times New Roman" w:cs="Times New Roman"/>
          <w:sz w:val="24"/>
          <w:szCs w:val="24"/>
        </w:rPr>
        <w:t>português e espanhol,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 limite de tempo das publicações. Na terceira etapa, buscou-se textos complement</w:t>
      </w:r>
      <w:r>
        <w:rPr>
          <w:rFonts w:ascii="Times New Roman" w:eastAsia="Times New Roman" w:hAnsi="Times New Roman" w:cs="Times New Roman"/>
          <w:sz w:val="24"/>
          <w:szCs w:val="24"/>
        </w:rPr>
        <w:t>ares, como manuais para atendimento ao paciente do transplante hepático de instituições hospitalares que estavam disponíveis, para compor a revisão.</w:t>
      </w:r>
    </w:p>
    <w:p w14:paraId="00000017" w14:textId="77777777" w:rsidR="00D56200" w:rsidRDefault="00FB0E4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14:paraId="00000018" w14:textId="77777777" w:rsidR="00D56200" w:rsidRDefault="00FB0E4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pesquisa resultou em 4.885 artigos. Após ler o título e resumo foram excl</w:t>
      </w:r>
      <w:r>
        <w:rPr>
          <w:rFonts w:ascii="Times New Roman" w:eastAsia="Times New Roman" w:hAnsi="Times New Roman" w:cs="Times New Roman"/>
          <w:sz w:val="24"/>
          <w:szCs w:val="24"/>
        </w:rPr>
        <w:t>uídos 4.742 registros por não atenderem aos critérios de inclusão e 34 por duplicidade, chegando a amostra de 112 estudos, os quais foram reavaliados por outro revisor, sendo 66 excluídos. Após a leitura completa dos 46 elegíveis, identificou-se que 17 est</w:t>
      </w:r>
      <w:r>
        <w:rPr>
          <w:rFonts w:ascii="Times New Roman" w:eastAsia="Times New Roman" w:hAnsi="Times New Roman" w:cs="Times New Roman"/>
          <w:sz w:val="24"/>
          <w:szCs w:val="24"/>
        </w:rPr>
        <w:t>udos atendiam aos critérios de inclusão.</w:t>
      </w:r>
    </w:p>
    <w:p w14:paraId="00000019" w14:textId="77777777" w:rsidR="00D56200" w:rsidRDefault="00FB0E48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observadas características do receptor no momento do pré-operatório que influenciam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paciente candidato ao transplante hepático. Elas estão relacionadas com resultados de exames, etiologia da doença do receptor, motivo do transpla</w:t>
      </w:r>
      <w:r>
        <w:rPr>
          <w:rFonts w:ascii="Times New Roman" w:eastAsia="Times New Roman" w:hAnsi="Times New Roman" w:cs="Times New Roman"/>
          <w:sz w:val="24"/>
          <w:szCs w:val="24"/>
        </w:rPr>
        <w:t>nte, estilo de vida do receptor, bem como estratégias implantadas ao paciente no momento pré-operatório, que visam evitar a perda sanguínea durante o procedimento.</w:t>
      </w:r>
    </w:p>
    <w:p w14:paraId="0000001A" w14:textId="77777777" w:rsidR="00D56200" w:rsidRDefault="00FB0E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laboratoriais que mostraram relevância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foram: o valor da 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oglobina e níveis baixos de plaquetas (PUSTAVOITAU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2017), albumina sérica (KASRAIAN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ureia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fibrinogênio abaixo do normal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(SINGH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D56200" w:rsidRDefault="00FB0E4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valor do MELD também influenciou na quantidade de sangue transfundido dentro de centr</w:t>
      </w:r>
      <w:r>
        <w:rPr>
          <w:rFonts w:ascii="Times New Roman" w:eastAsia="Times New Roman" w:hAnsi="Times New Roman" w:cs="Times New Roman"/>
          <w:sz w:val="24"/>
          <w:szCs w:val="24"/>
        </w:rPr>
        <w:t>o cirúrgico (KASRAIAN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2018). Além disso, a causa da necessidade de transplante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também foi um indicativo de aumento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(PULITANÒ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2007,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SINGH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1C" w14:textId="77777777" w:rsidR="00D56200" w:rsidRDefault="00FB0E48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diz respeito aos fatores relacionados à fase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principais características ligadas ao aumento da necessidade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durante o processo de transplante hepático estão relacionadas a: maior tempo do procedimento cirúrgico, tempo de isquemia fria, condições de armazenamento do enxerto e hipert</w:t>
      </w:r>
      <w:r>
        <w:rPr>
          <w:rFonts w:ascii="Times New Roman" w:eastAsia="Times New Roman" w:hAnsi="Times New Roman" w:cs="Times New Roman"/>
          <w:sz w:val="24"/>
          <w:szCs w:val="24"/>
        </w:rPr>
        <w:t>ensão portal prévia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(SINGH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D56200" w:rsidRDefault="00FB0E48">
      <w:pPr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Outros aspectos encontrados nos resultados destinam-se à possível diminuição da necessidade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hemotransfusão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sendo eles: técnica cirúrgica utilizada, anestesia qualificada, administração prévia de drogas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antifibr</w:t>
      </w:r>
      <w:r>
        <w:rPr>
          <w:rFonts w:ascii="Times New Roman" w:eastAsia="Times New Roman" w:hAnsi="Times New Roman" w:cs="Times New Roman"/>
          <w:sz w:val="24"/>
          <w:szCs w:val="24"/>
        </w:rPr>
        <w:t>inolíticas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fator recombinante de coagulação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intuito de evitar e/ou controlar possíveis hemorragias e transfusão autóloga (FELTRACCO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2013, DEVI, 2009). </w:t>
      </w:r>
    </w:p>
    <w:p w14:paraId="0000001E" w14:textId="77777777" w:rsidR="00D56200" w:rsidRDefault="00FB0E4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mais, os estudos propõem a utilização de exames clínicos e tecnologias favoráveis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o manejo do tratamento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 as sugestões, as mais citadas foram o uso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Tromboelastografia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Tromboelastometria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da administração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hemocomponentes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apropriados ao caso (DEVI, 2009).</w:t>
      </w:r>
    </w:p>
    <w:p w14:paraId="0000001F" w14:textId="77777777" w:rsidR="00D56200" w:rsidRDefault="00FB0E48">
      <w:pPr>
        <w:spacing w:before="200" w:after="2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se refere à taxa de mortalidade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intra-ho</w:t>
      </w:r>
      <w:r>
        <w:rPr>
          <w:rFonts w:ascii="Times New Roman" w:eastAsia="Times New Roman" w:hAnsi="Times New Roman" w:cs="Times New Roman"/>
          <w:sz w:val="24"/>
          <w:szCs w:val="24"/>
        </w:rPr>
        <w:t>spitalar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preditores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mais presentes foram: os valores mais altos de MELD, maior urgência para o transplante, maior quantidade de transfusão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hemocomponentes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centro cirúrgico, UTI ou durante toda a internação hospitalar (FELTRACCO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>, 2013).</w:t>
      </w:r>
    </w:p>
    <w:p w14:paraId="00000020" w14:textId="77777777" w:rsidR="00D56200" w:rsidRDefault="00FB0E48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Quanto às recomendações, a literatura sugere que identificar os fatores associados às necessidades de transfusão pode ajudar a planejar a quantidade de sangue suficiente (KASRAIAN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et al., </w:t>
      </w:r>
      <w:r>
        <w:rPr>
          <w:rFonts w:ascii="Times New Roman" w:eastAsia="Times New Roman" w:hAnsi="Times New Roman" w:cs="Times New Roman"/>
          <w:sz w:val="24"/>
          <w:szCs w:val="24"/>
        </w:rPr>
        <w:t>2018). Ademais, foram citadas as necessidades de minimização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possíveis perdas sanguíneas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recomenda-se a utilização de métodos de autotransfusão a fim de reduzir e até mesmo evitar efeitos deletérios da transfusão de sangue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alogênico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SINGH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2019)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00000022" w14:textId="77777777" w:rsidR="00D56200" w:rsidRDefault="00FB0E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estudo permitiu identificar 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elementos/variáveis que sustentarão o instrumento norteador do atendimento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hemoterápico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paciente em processo de transplante hepático para assim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aumentar a segurança ao paciente e contribuir para a melhoria da qualidade 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assistência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prestada,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visando minimizar as complicações hemorrágicas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possíveis intercorrências decorrentes de tal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procedimento,além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melhorar o gerenciamento dos recursos de transfusão deste período.</w:t>
      </w:r>
    </w:p>
    <w:p w14:paraId="00000023" w14:textId="77777777" w:rsidR="00D56200" w:rsidRDefault="00FB0E4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24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DEVI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Allanki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Surekha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orthotopic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Medicine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13, n. 3, p. 120-128, 2009.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Jaypee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Brothers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http://dx.doi.org/10.4103/0972-5229.58536.</w:t>
      </w:r>
    </w:p>
    <w:p w14:paraId="00000025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ESPINDOLA,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Schirle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Segurança do paciente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intraoperatório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transplante hepático: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Acta Paulista de Enfermagem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[S.L.], v. 33, n. 1, p. 1-9, mar. 2020. Acta Paulista de Enfermagem. http://dx.doi.org/10.37689/acta-ape/2020ar0187.</w:t>
      </w:r>
    </w:p>
    <w:p w14:paraId="00000027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FELTRACCO,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Paolo.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predictors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salvaging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World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Hepatology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5, n. 1, p. 1, 2013.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Baishideng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Inc..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http://dx.doi.org/10.4254/w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jh.v5.i1.1.</w:t>
      </w:r>
    </w:p>
    <w:p w14:paraId="00000029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KASRAIAN, L., NIKEGHBALIAN, S., KARIMI, M.H.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Transplantation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Short-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Transplant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2018;9(3):105-111.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PMID: 30487957; PMCID: PMC6252178.</w:t>
      </w:r>
    </w:p>
    <w:p w14:paraId="0000002B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D56200" w:rsidRDefault="00FB0E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MCGOWAN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Jessie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Reporting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—PRISMA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ScR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extension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Epidemiology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123, n. 1, p. 177-179, jul. 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Elsevier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BV. http://dx.doi.org/10.1016/j.jclinepi.2020.03.016.</w:t>
      </w:r>
    </w:p>
    <w:p w14:paraId="0000002D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PULITANÒ, C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score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rioperative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British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Surgery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94, n. 7, p. 860-865, 23 mar. 2007. Oxford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Press (OUP). http://dx.doi.org/10.1002/bjs.5731</w:t>
      </w:r>
    </w:p>
    <w:p w14:paraId="0000002F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PUSTAVOITAU,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Aliaksei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Predictive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Modeling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Utilization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Anesthesia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&amp; Analgesia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124, n. 5, p. 1644-1652, maio 2017.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Technologies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Wolters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Kluwer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Health). http://dx.doi.org/10.1213/ane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.0000000000001994</w:t>
      </w:r>
    </w:p>
    <w:p w14:paraId="00000031" w14:textId="77777777" w:rsidR="00D56200" w:rsidRDefault="00D562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D56200" w:rsidRDefault="00FB0E4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SINGH,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Shweta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Predicting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packed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 living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transplantation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retrospective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Anaesthesia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[S.L.], v. 63, n. 2, p. 119, 2019.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Medknow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http://dx.doi.org/10.4103/ija.ija_401_18.</w:t>
      </w:r>
    </w:p>
    <w:sectPr w:rsidR="00D56200" w:rsidSect="005C6A79">
      <w:headerReference w:type="default" r:id="rId6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9E52B" w14:textId="77777777" w:rsidR="00FB0E48" w:rsidRDefault="00FB0E48">
      <w:pPr>
        <w:spacing w:line="240" w:lineRule="auto"/>
      </w:pPr>
      <w:r>
        <w:separator/>
      </w:r>
    </w:p>
  </w:endnote>
  <w:endnote w:type="continuationSeparator" w:id="0">
    <w:p w14:paraId="6F4BFF7E" w14:textId="77777777" w:rsidR="00FB0E48" w:rsidRDefault="00FB0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EA54" w14:textId="77777777" w:rsidR="00FB0E48" w:rsidRDefault="00FB0E48">
      <w:pPr>
        <w:spacing w:line="240" w:lineRule="auto"/>
      </w:pPr>
      <w:r>
        <w:separator/>
      </w:r>
    </w:p>
  </w:footnote>
  <w:footnote w:type="continuationSeparator" w:id="0">
    <w:p w14:paraId="12E8CE11" w14:textId="77777777" w:rsidR="00FB0E48" w:rsidRDefault="00FB0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D56200" w:rsidRDefault="00D562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00"/>
    <w:rsid w:val="005C6A79"/>
    <w:rsid w:val="00D56200"/>
    <w:rsid w:val="00F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808A"/>
  <w15:docId w15:val="{ED7220BD-7F17-4200-8236-BA4CA84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1863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2022-09-04T19:49:00Z</dcterms:created>
  <dcterms:modified xsi:type="dcterms:W3CDTF">2022-09-04T19:49:00Z</dcterms:modified>
</cp:coreProperties>
</file>