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PORTADORES DE SÍNDROME DE DOWN COM CERATOCONE SUBMETIDOS AO TRANSPLANTE DE CÓRNEA: UMA REVISÃO DE LITERATURA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5103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Thifisson Ribeiro de Souza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Suyanne Lobato Rodrigues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; Fabiane da Costa Figueiredo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; Thiago Ribeiro de Souza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Graduando em </w:t>
      </w:r>
      <w:r w:rsidDel="00000000" w:rsidR="00000000" w:rsidRPr="00000000">
        <w:rPr>
          <w:sz w:val="24"/>
          <w:szCs w:val="24"/>
          <w:rtl w:val="0"/>
        </w:rPr>
        <w:t xml:space="preserve">Medicina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pel</w:t>
      </w:r>
      <w:r w:rsidDel="00000000" w:rsidR="00000000" w:rsidRPr="00000000">
        <w:rPr>
          <w:sz w:val="24"/>
          <w:szCs w:val="24"/>
          <w:rtl w:val="0"/>
        </w:rPr>
        <w:t xml:space="preserve">a Universidade de Rio Verde - UniRV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Rio Verde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Goiás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Brasil.</w:t>
      </w:r>
    </w:p>
    <w:p w:rsidR="00000000" w:rsidDel="00000000" w:rsidP="00000000" w:rsidRDefault="00000000" w:rsidRPr="00000000" w14:paraId="00000007">
      <w:pPr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2,3</w:t>
      </w:r>
      <w:r w:rsidDel="00000000" w:rsidR="00000000" w:rsidRPr="00000000">
        <w:rPr>
          <w:sz w:val="24"/>
          <w:szCs w:val="24"/>
          <w:rtl w:val="0"/>
        </w:rPr>
        <w:t xml:space="preserve">Graduanda em Medicina pelo Centro Universitário Metropolitano da Amazônia – UNIFAMAZ, Belém, Pará, 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Médico pelo Centro Universitário Atenas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sz w:val="24"/>
          <w:szCs w:val="24"/>
          <w:rtl w:val="0"/>
        </w:rPr>
        <w:t xml:space="preserve">UniAtenas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Paracatu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Minas Gerais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Brasil.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Área Temática</w:t>
      </w:r>
      <w:r w:rsidDel="00000000" w:rsidR="00000000" w:rsidRPr="00000000">
        <w:rPr>
          <w:sz w:val="24"/>
          <w:szCs w:val="24"/>
          <w:rtl w:val="0"/>
        </w:rPr>
        <w:t xml:space="preserve">: Ciências da Saúde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E-mail do autor para correspondência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thifissonribeiro@gmail.com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rtl w:val="0"/>
        </w:rPr>
        <w:t xml:space="preserve">Pacientes com síndrome de Down merecem um tratamento especial em todos os sentidos. Por mais que possam apresentar problemas de saúde comuns, a escolha do manejo deve ser adaptada ao seu nível mental e às diversas peculiaridades que o portador da síndrome traz consigo, no intuito de reduzir os impactos da doença sobre a capacidade funcional do paciente (muitas vezes já prejudicada pela síndrome). O ceratocone é a principal doença ectópica da córnea e está muito presente em pacientes que possuem a síndrome de Down. Em casos mais avançados do ceratocone, deve-se analisar cada aspecto antes de uma possível indicação à ceratoplastia.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Investigar na literatura o manejo do prognóstico visual em pacientes portadores de síndrome de Down com ceratocone submetidos à ceratoplastia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MATERIAIS E MÉTODOS: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Trata-se de uma revisão </w:t>
      </w:r>
      <w:r w:rsidDel="00000000" w:rsidR="00000000" w:rsidRPr="00000000">
        <w:rPr>
          <w:sz w:val="24"/>
          <w:szCs w:val="24"/>
          <w:rtl w:val="0"/>
        </w:rPr>
        <w:t xml:space="preserve">narrativa de literatura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utilizando-se de artigos publicados de forma íntegra nos últimos 10 anos nas línguas espanhola, inglesa e portuguesa no banco de dados </w:t>
      </w:r>
      <w:r w:rsidDel="00000000" w:rsidR="00000000" w:rsidRPr="00000000">
        <w:rPr>
          <w:i w:val="1"/>
          <w:sz w:val="24"/>
          <w:szCs w:val="24"/>
          <w:rtl w:val="0"/>
        </w:rPr>
        <w:t xml:space="preserve">United States National Library of Medicine (PubMed)</w:t>
      </w:r>
      <w:r w:rsidDel="00000000" w:rsidR="00000000" w:rsidRPr="00000000">
        <w:rPr>
          <w:sz w:val="24"/>
          <w:szCs w:val="24"/>
          <w:rtl w:val="0"/>
        </w:rPr>
        <w:t xml:space="preserve">. Para seleção dos estudos elegíveis, foram utilizados os unitermos </w:t>
      </w:r>
      <w:r w:rsidDel="00000000" w:rsidR="00000000" w:rsidRPr="00000000">
        <w:rPr>
          <w:i w:val="1"/>
          <w:sz w:val="24"/>
          <w:szCs w:val="24"/>
          <w:rtl w:val="0"/>
        </w:rPr>
        <w:t xml:space="preserve">“corneal transplantation” AND “Down syndrome”</w:t>
      </w:r>
      <w:r w:rsidDel="00000000" w:rsidR="00000000" w:rsidRPr="00000000">
        <w:rPr>
          <w:sz w:val="24"/>
          <w:szCs w:val="24"/>
          <w:rtl w:val="0"/>
        </w:rPr>
        <w:t xml:space="preserve">. Após a seleção dos estudos, 6 dos 9 resultados encontrados foram explorados neste trabalho, além de dois livros referência da oftalmologia. As etapas descritas ocorreram em agosto de 2022.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 E DISCUSSÃO:</w:t>
      </w:r>
      <w:r w:rsidDel="00000000" w:rsidR="00000000" w:rsidRPr="00000000">
        <w:rPr>
          <w:sz w:val="24"/>
          <w:szCs w:val="24"/>
          <w:rtl w:val="0"/>
        </w:rPr>
        <w:t xml:space="preserve"> Após o estudo de revisão, observou-se que os sinais do ceratocone podem trazer malefícios significativos ao paciente com síndrome de Down. Isso se dá porque a fricção dos olhos pode fazer com que a doença evolua mais rapidamente, aumentando a chance de incidência de hidropsia refratária e risco de perfuração corneana espontânea. Este último pode conduzir a cirurgias de emergência, completamente indesejáveis e sugestivas de quadro clínico com pior prognóstico. O paciente com síndrome de Down apresenta um afinamento maior da córnea, muitas vezes portando um ceratocone elevado. Logo, o botão doador do enxerto tende a ser maior, aumentando o risco de rejeição, neovascularização da córnea, deiscência de sutura e incidência de glaucoma secundário. É importante ressaltar que a deiscência de sutura traz consigo uma maior dificuldade de cicatrização da cirurgia e maior chance de risco de infecções corneanas. A frouxidão palpebral (característica na síndrome de Down) é outro fator que pode gerar complicações após a ceratoplastia.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CONSIDERAÇÕES FINAIS</w:t>
      </w:r>
      <w:r w:rsidDel="00000000" w:rsidR="00000000" w:rsidRPr="00000000">
        <w:rPr>
          <w:sz w:val="24"/>
          <w:szCs w:val="24"/>
          <w:rtl w:val="0"/>
        </w:rPr>
        <w:t xml:space="preserve">: A medida mais eficiente a ser tomada nesses casos é o envolvimento familiar para melhor recuperação da cirurgia e tratamento da doença. Ademais, a preferência por transplantes lamelares, acompanhamento frequente do paciente e entendimento do seu nível de déficit mental para escolha dos procedimentos também se fazem de suma importância.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Síndrome de Down; Transplante de córnea; Fatores prognósticos; Ceratocone.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REFERÊNCIAS BIBLIOGRÁFICAS 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BERMUDEZ, B.E.B.V. </w:t>
      </w:r>
      <w:r w:rsidDel="00000000" w:rsidR="00000000" w:rsidRPr="00000000">
        <w:rPr>
          <w:i w:val="1"/>
          <w:sz w:val="24"/>
          <w:szCs w:val="24"/>
          <w:rtl w:val="0"/>
        </w:rPr>
        <w:t xml:space="preserve">et al. Ophthalmological abnormalities in Down syndrome among Brazilian patients.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American journal of medical genetics, Part. A [on-line]</w:t>
      </w:r>
      <w:r w:rsidDel="00000000" w:rsidR="00000000" w:rsidRPr="00000000">
        <w:rPr>
          <w:sz w:val="24"/>
          <w:szCs w:val="24"/>
          <w:rtl w:val="0"/>
        </w:rPr>
        <w:t xml:space="preserve">. V. 182, n. 11, p. 2641-2645, 2020. Disponível em: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https://onlinelibrary.wiley.com/doi/10.1002/ajmg.a.61845</w:t>
        </w:r>
      </w:hyperlink>
      <w:r w:rsidDel="00000000" w:rsidR="00000000" w:rsidRPr="00000000">
        <w:rPr>
          <w:sz w:val="24"/>
          <w:szCs w:val="24"/>
          <w:rtl w:val="0"/>
        </w:rPr>
        <w:t xml:space="preserve">. Acesso em: 12 ago. 2022.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BOWLING, B. </w:t>
      </w:r>
      <w:r w:rsidDel="00000000" w:rsidR="00000000" w:rsidRPr="00000000">
        <w:rPr>
          <w:b w:val="1"/>
          <w:sz w:val="24"/>
          <w:szCs w:val="24"/>
          <w:rtl w:val="0"/>
        </w:rPr>
        <w:t xml:space="preserve">Kanski Oftalmologia Clínica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8ª Ed.). Rio de Janeiro, Grupo GEN, 2016.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KOLLER, B.; NEUHANN, T.F.; NEUHANN, I.M.</w:t>
      </w:r>
      <w:r w:rsidDel="00000000" w:rsidR="00000000" w:rsidRPr="00000000">
        <w:rPr>
          <w:i w:val="1"/>
          <w:sz w:val="24"/>
          <w:szCs w:val="24"/>
          <w:rtl w:val="0"/>
        </w:rPr>
        <w:t xml:space="preserve"> Keratoplasty in patients with intellectual disability.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Cornea [on-line]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V. 33, n. 1, p. 10-13, 2014. Disponível em: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https://journals.lww.com/corneajrnl/Abstract/2014/01000/Keratoplasty_in_Patients_With_Intellectual.3.aspx</w:t>
        </w:r>
      </w:hyperlink>
      <w:r w:rsidDel="00000000" w:rsidR="00000000" w:rsidRPr="00000000">
        <w:rPr>
          <w:sz w:val="24"/>
          <w:szCs w:val="24"/>
          <w:rtl w:val="0"/>
        </w:rPr>
        <w:t xml:space="preserve">. Acesso em: 12 ago. 2022.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MOREIRA, H. </w:t>
      </w:r>
      <w:r w:rsidDel="00000000" w:rsidR="00000000" w:rsidRPr="00000000">
        <w:rPr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sz w:val="24"/>
          <w:szCs w:val="24"/>
          <w:rtl w:val="0"/>
        </w:rPr>
        <w:t xml:space="preserve">. Coordenador: ALVES, M.R. </w:t>
      </w:r>
      <w:r w:rsidDel="00000000" w:rsidR="00000000" w:rsidRPr="00000000">
        <w:rPr>
          <w:b w:val="1"/>
          <w:sz w:val="24"/>
          <w:szCs w:val="24"/>
          <w:rtl w:val="0"/>
        </w:rPr>
        <w:t xml:space="preserve">Banco de Olhos, Transplante de Córnea 3ª Ed. (Série CBO). </w:t>
      </w:r>
      <w:r w:rsidDel="00000000" w:rsidR="00000000" w:rsidRPr="00000000">
        <w:rPr>
          <w:sz w:val="24"/>
          <w:szCs w:val="24"/>
          <w:rtl w:val="0"/>
        </w:rPr>
        <w:t xml:space="preserve">Rio de Janeiro, Cultura Médica: Guanabara Koogan, 2013.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40" w:w="11920" w:orient="portrait"/>
      <w:pgMar w:bottom="1134" w:top="1701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02" w:lineRule="auto"/>
      <w:ind w:left="696"/>
    </w:pPr>
    <w:rPr>
      <w:b w:val="1"/>
      <w:sz w:val="32"/>
      <w:szCs w:val="32"/>
      <w:u w:val="single"/>
    </w:rPr>
  </w:style>
  <w:style w:type="paragraph" w:styleId="Heading2">
    <w:name w:val="heading 2"/>
    <w:basedOn w:val="Normal"/>
    <w:next w:val="Normal"/>
    <w:pPr>
      <w:ind w:left="800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02" w:lineRule="auto"/>
      <w:ind w:left="696"/>
    </w:pPr>
    <w:rPr>
      <w:b w:val="1"/>
      <w:sz w:val="32"/>
      <w:szCs w:val="32"/>
      <w:u w:val="single"/>
    </w:rPr>
  </w:style>
  <w:style w:type="paragraph" w:styleId="Heading2">
    <w:name w:val="heading 2"/>
    <w:basedOn w:val="Normal"/>
    <w:next w:val="Normal"/>
    <w:pPr>
      <w:ind w:left="800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9"/>
    <w:qFormat w:val="1"/>
    <w:pPr>
      <w:spacing w:before="102"/>
      <w:ind w:left="696"/>
      <w:outlineLvl w:val="0"/>
    </w:pPr>
    <w:rPr>
      <w:b w:val="1"/>
      <w:bCs w:val="1"/>
      <w:sz w:val="32"/>
      <w:szCs w:val="32"/>
      <w:u w:color="000000" w:val="single"/>
    </w:rPr>
  </w:style>
  <w:style w:type="paragraph" w:styleId="Ttulo2">
    <w:name w:val="heading 2"/>
    <w:basedOn w:val="Normal"/>
    <w:uiPriority w:val="9"/>
    <w:unhideWhenUsed w:val="1"/>
    <w:qFormat w:val="1"/>
    <w:pPr>
      <w:ind w:left="800"/>
      <w:outlineLvl w:val="1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800" w:hanging="361"/>
    </w:pPr>
  </w:style>
  <w:style w:type="paragraph" w:styleId="TableParagraph" w:customStyle="1">
    <w:name w:val="Table Paragraph"/>
    <w:basedOn w:val="Normal"/>
    <w:uiPriority w:val="1"/>
    <w:qFormat w:val="1"/>
  </w:style>
  <w:style w:type="table" w:styleId="TabeladeGrade4-nfase3">
    <w:name w:val="Grid Table 4 Accent 3"/>
    <w:basedOn w:val="Tabelanormal"/>
    <w:uiPriority w:val="49"/>
    <w:rsid w:val="00CE5ABE"/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bbb59" w:space="0" w:sz="4" w:themeColor="accent3" w:val="single"/>
          <w:left w:color="9bbb59" w:space="0" w:sz="4" w:themeColor="accent3" w:val="single"/>
          <w:bottom w:color="9bbb59" w:space="0" w:sz="4" w:themeColor="accent3" w:val="single"/>
          <w:right w:color="9bbb59" w:space="0" w:sz="4" w:themeColor="accent3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TabeladeGrade4-nfase4">
    <w:name w:val="Grid Table 4 Accent 4"/>
    <w:basedOn w:val="Tabelanormal"/>
    <w:uiPriority w:val="49"/>
    <w:rsid w:val="00CE5ABE"/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  <w:insideV w:color="b2a1c7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064a2" w:space="0" w:sz="4" w:themeColor="accent4" w:val="single"/>
          <w:left w:color="8064a2" w:space="0" w:sz="4" w:themeColor="accent4" w:val="single"/>
          <w:bottom w:color="8064a2" w:space="0" w:sz="4" w:themeColor="accent4" w:val="single"/>
          <w:right w:color="8064a2" w:space="0" w:sz="4" w:themeColor="accent4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rPr>
        <w:b w:val="1"/>
        <w:bCs w:val="1"/>
      </w:rPr>
      <w:tblPr/>
      <w:tcPr>
        <w:tcBorders>
          <w:top w:color="8064a2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character" w:styleId="Hyperlink">
    <w:name w:val="Hyperlink"/>
    <w:basedOn w:val="Fontepargpadro"/>
    <w:uiPriority w:val="99"/>
    <w:unhideWhenUsed w:val="1"/>
    <w:rsid w:val="005E280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5E2805"/>
    <w:rPr>
      <w:color w:val="605e5c"/>
      <w:shd w:color="auto" w:fill="e1dfdd" w:val="clear"/>
    </w:r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8D77B3"/>
    <w:pPr>
      <w:keepNext w:val="1"/>
      <w:keepLines w:val="1"/>
      <w:widowControl w:val="1"/>
      <w:autoSpaceDE w:val="1"/>
      <w:autoSpaceDN w:val="1"/>
      <w:spacing w:before="240" w:line="259" w:lineRule="auto"/>
      <w:ind w:left="0"/>
      <w:outlineLvl w:val="9"/>
    </w:pPr>
    <w:rPr>
      <w:rFonts w:asciiTheme="majorHAnsi" w:cstheme="majorBidi" w:eastAsiaTheme="majorEastAsia" w:hAnsiTheme="majorHAnsi"/>
      <w:b w:val="0"/>
      <w:bCs w:val="0"/>
      <w:color w:val="365f91" w:themeColor="accent1" w:themeShade="0000BF"/>
      <w:u w:val="none"/>
      <w:lang w:eastAsia="pt-BR" w:val="pt-BR"/>
    </w:rPr>
  </w:style>
  <w:style w:type="paragraph" w:styleId="Sumrio1">
    <w:name w:val="toc 1"/>
    <w:basedOn w:val="Normal"/>
    <w:next w:val="Normal"/>
    <w:autoRedefine w:val="1"/>
    <w:uiPriority w:val="39"/>
    <w:unhideWhenUsed w:val="1"/>
    <w:rsid w:val="008D77B3"/>
    <w:pPr>
      <w:spacing w:after="100"/>
    </w:pPr>
  </w:style>
  <w:style w:type="paragraph" w:styleId="Sumrio2">
    <w:name w:val="toc 2"/>
    <w:basedOn w:val="Normal"/>
    <w:next w:val="Normal"/>
    <w:autoRedefine w:val="1"/>
    <w:uiPriority w:val="39"/>
    <w:unhideWhenUsed w:val="1"/>
    <w:rsid w:val="008D77B3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 w:val="1"/>
    <w:rsid w:val="006C1C3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6C1C32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6C1C3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6C1C32"/>
    <w:rPr>
      <w:rFonts w:ascii="Times New Roman" w:cs="Times New Roman" w:eastAsia="Times New Roman" w:hAnsi="Times New Roman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journals.lww.com/corneajrnl/Abstract/2014/01000/Keratoplasty_in_Patients_With_Intellectual.3.aspx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hifissonribeiro@gmail.com" TargetMode="External"/><Relationship Id="rId8" Type="http://schemas.openxmlformats.org/officeDocument/2006/relationships/hyperlink" Target="https://onlinelibrary.wiley.com/doi/10.1002/ajmg.a.618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04Fkfwi/E6ixke5TyyT4dtXGBA==">AMUW2mUkwKGonieZytKxEQeJ/SpRvBIbp9YbNCyqh4+ZLWArWOZJQnxRkSgeAwXZUH9/I65hOW7Ejxwvq4JOKZe0uV0BKnoTLiNA3jLl8HZOuXISBWcpOZw=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2022-06-17T02:24:00Z</dcterms:created>
  <dc:creator>Ana Bilio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2021-11-18T00:00:00Z</vt:filetime>
  </property>
</Properties>
</file>