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45CD" w:rsidR="000F45F0" w:rsidP="007F45CD" w:rsidRDefault="000F45F0" w14:paraId="7048C23A" w14:textId="77777777">
      <w:pPr>
        <w:pStyle w:val="Corpodetexto"/>
        <w:rPr>
          <w:b/>
        </w:rPr>
      </w:pPr>
    </w:p>
    <w:p w:rsidRPr="007F45CD" w:rsidR="000F45F0" w:rsidP="2CAB3BE1" w:rsidRDefault="000F45F0" w14:paraId="44014325" w14:textId="2EBBDE2D">
      <w:pPr>
        <w:pStyle w:val="Corpodetexto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2CAB3BE1" w:rsidR="2CAB3BE1">
        <w:rPr>
          <w:rStyle w:val="Nenhum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t-PT"/>
        </w:rPr>
        <w:t>ESTUDO DA INFLUÊNCIA DOS BIFOSFONATOS NAS LESÕES PERIAPICAIS</w:t>
      </w:r>
    </w:p>
    <w:p w:rsidRPr="007F45CD" w:rsidR="000F45F0" w:rsidP="2CAB3BE1" w:rsidRDefault="000F45F0" w14:paraId="3559B706" w14:textId="07B572A8">
      <w:pPr>
        <w:pStyle w:val="Normal"/>
        <w:spacing w:beforeAutospacing="on" w:after="160" w:afterAutospacing="on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7F45CD" w:rsidR="000F45F0" w:rsidP="31E80D58" w:rsidRDefault="000F45F0" w14:paraId="5DDF355E" w14:textId="76E6CB22">
      <w:pPr>
        <w:spacing w:line="259" w:lineRule="auto"/>
        <w:jc w:val="left"/>
      </w:pP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Rosa Raquel Pinto Guedes Marques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1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; Karoline Magalhães de Paula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2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; Katherine Batistela Rodrigues Thuller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3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; Letícia Salles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2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; Cinthya Cristina Gomes</w:t>
      </w:r>
      <w:r w:rsidRPr="31E80D58" w:rsidR="1330B25F">
        <w:rPr>
          <w:rFonts w:ascii="Times New Roman" w:hAnsi="Times New Roman" w:eastAsia="Times New Roman" w:cs="Times New Roman"/>
          <w:noProof w:val="0"/>
          <w:sz w:val="22"/>
          <w:szCs w:val="22"/>
          <w:lang w:val="pt-PT"/>
        </w:rPr>
        <w:t xml:space="preserve"> 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4</w:t>
      </w:r>
      <w:r w:rsidRPr="31E80D58" w:rsidR="1330B25F">
        <w:rPr>
          <w:rFonts w:ascii="Times New Roman" w:hAnsi="Times New Roman" w:eastAsia="Times New Roman" w:cs="Times New Roman"/>
          <w:noProof w:val="0"/>
          <w:sz w:val="22"/>
          <w:szCs w:val="22"/>
          <w:lang w:val="pt-PT"/>
        </w:rPr>
        <w:t>.</w:t>
      </w:r>
    </w:p>
    <w:p w:rsidRPr="007F45CD" w:rsidR="000F45F0" w:rsidP="31E80D58" w:rsidRDefault="000F45F0" w14:paraId="6F2A39E1" w14:textId="416BC6A1">
      <w:pPr>
        <w:ind w:firstLine="5102"/>
        <w:jc w:val="left"/>
      </w:pPr>
      <w:r>
        <w:br/>
      </w:r>
    </w:p>
    <w:p w:rsidRPr="007F45CD" w:rsidR="000F45F0" w:rsidP="31E80D58" w:rsidRDefault="000F45F0" w14:paraId="0E1C7E63" w14:textId="6D36DD5F">
      <w:pPr>
        <w:jc w:val="left"/>
      </w:pPr>
      <w:r>
        <w:br/>
      </w:r>
    </w:p>
    <w:p w:rsidRPr="007F45CD" w:rsidR="000F45F0" w:rsidP="31E80D58" w:rsidRDefault="000F45F0" w14:paraId="77A3A094" w14:textId="12B7EEBF">
      <w:pPr>
        <w:spacing w:line="259" w:lineRule="auto"/>
        <w:jc w:val="left"/>
      </w:pP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1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Instituto de Saúde de Nova Friburgo Universidade Federal Fluminense, Faculdade de Odontologia, FFE (ISNF/UFF/FFE). </w:t>
      </w:r>
    </w:p>
    <w:p w:rsidRPr="007F45CD" w:rsidR="000F45F0" w:rsidP="31E80D58" w:rsidRDefault="000F45F0" w14:paraId="73DF7C5F" w14:textId="0AD1B7E9">
      <w:pPr>
        <w:spacing w:line="259" w:lineRule="auto"/>
        <w:jc w:val="left"/>
      </w:pP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2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Instituto de Saúde de Nova Friburgo Universidade Federal Fluminense, Faculdade de Odontologia, Programa de Pós Graduação, Mestrado (ISNF/PPGO).</w:t>
      </w:r>
    </w:p>
    <w:p w:rsidRPr="007F45CD" w:rsidR="000F45F0" w:rsidP="31E80D58" w:rsidRDefault="000F45F0" w14:paraId="5BF12D81" w14:textId="5DFE6856">
      <w:pPr>
        <w:spacing w:line="259" w:lineRule="auto"/>
        <w:jc w:val="left"/>
      </w:pP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>3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Universidade Federal Fluminense Campus Niterói, Faculdade de Odontologia, Programa de Pós Graduação, Doutorado (UFF/PPGO). </w:t>
      </w:r>
    </w:p>
    <w:p w:rsidRPr="007F45CD" w:rsidR="000F45F0" w:rsidP="31E80D58" w:rsidRDefault="000F45F0" w14:paraId="6DA7407C" w14:textId="3BCB8188">
      <w:pPr>
        <w:spacing w:line="259" w:lineRule="auto"/>
        <w:jc w:val="left"/>
      </w:pP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pt-BR"/>
        </w:rPr>
        <w:t xml:space="preserve">4 </w:t>
      </w:r>
      <w:r w:rsidRPr="31E80D58" w:rsidR="1330B25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Instituto de Saúde de Nova Friburgo Universidade Federal Fluminense, Professora de Odontologia, Programa de Pós Graduação, Mestrado (ISNF/PPGO).</w:t>
      </w:r>
    </w:p>
    <w:p w:rsidRPr="007F45CD" w:rsidR="000F45F0" w:rsidP="2CAB3BE1" w:rsidRDefault="000F45F0" w14:paraId="0C8F5478" w14:textId="64F4177D">
      <w:pPr>
        <w:pStyle w:val="Corpodetexto"/>
        <w:rPr>
          <w:rFonts w:ascii="Times New Roman" w:hAnsi="Times New Roman" w:eastAsia="Times New Roman" w:cs="Times New Roman"/>
          <w:sz w:val="24"/>
          <w:szCs w:val="24"/>
        </w:rPr>
      </w:pPr>
    </w:p>
    <w:p w:rsidRPr="007F45CD" w:rsidR="000F45F0" w:rsidP="2CAB3BE1" w:rsidRDefault="001040CD" w14:textId="2BC54217" w14:paraId="07ED474A">
      <w:pPr>
        <w:spacing w:line="360" w:lineRule="auto"/>
        <w:rPr>
          <w:sz w:val="24"/>
          <w:szCs w:val="24"/>
        </w:rPr>
      </w:pPr>
      <w:r w:rsidRPr="2CAB3BE1" w:rsidR="001040CD">
        <w:rPr>
          <w:b w:val="1"/>
          <w:bCs w:val="1"/>
          <w:spacing w:val="-1"/>
          <w:sz w:val="24"/>
          <w:szCs w:val="24"/>
        </w:rPr>
        <w:t>Área</w:t>
      </w:r>
      <w:r w:rsidRPr="2CAB3BE1" w:rsidR="0034223A">
        <w:rPr>
          <w:b w:val="1"/>
          <w:bCs w:val="1"/>
          <w:spacing w:val="-2"/>
          <w:sz w:val="24"/>
          <w:szCs w:val="24"/>
        </w:rPr>
        <w:t xml:space="preserve"> </w:t>
      </w:r>
      <w:r w:rsidRPr="2CAB3BE1" w:rsidR="0034223A">
        <w:rPr>
          <w:b w:val="1"/>
          <w:bCs w:val="1"/>
          <w:spacing w:val="-1"/>
          <w:sz w:val="24"/>
          <w:szCs w:val="24"/>
        </w:rPr>
        <w:t>Temática</w:t>
      </w:r>
      <w:r w:rsidRPr="007F45CD" w:rsidR="0034223A">
        <w:rPr>
          <w:spacing w:val="-1"/>
          <w:sz w:val="24"/>
          <w:szCs w:val="24"/>
        </w:rPr>
        <w:t>:</w:t>
      </w:r>
      <w:r w:rsidRPr="007F45CD" w:rsidR="0034223A">
        <w:rPr>
          <w:spacing w:val="-21"/>
          <w:sz w:val="24"/>
          <w:szCs w:val="24"/>
        </w:rPr>
        <w:t xml:space="preserve"> Ciências da Saúde / Odontologia</w:t>
      </w:r>
    </w:p>
    <w:p w:rsidR="2CAB3BE1" w:rsidP="2CAB3BE1" w:rsidRDefault="2CAB3BE1" w14:paraId="5DBC391F" w14:textId="2172DA80">
      <w:pPr>
        <w:pStyle w:val="Corpodetexto"/>
        <w:spacing w:line="360" w:lineRule="auto"/>
        <w:jc w:val="both"/>
        <w:rPr>
          <w:b w:val="1"/>
          <w:bCs w:val="1"/>
        </w:rPr>
      </w:pPr>
    </w:p>
    <w:p w:rsidRPr="007F45CD" w:rsidR="000F45F0" w:rsidP="001040CD" w:rsidRDefault="000F45F0" w14:paraId="5CF351FE" w14:textId="35000FEB">
      <w:pPr>
        <w:pStyle w:val="Corpodetexto"/>
        <w:spacing w:line="360" w:lineRule="auto"/>
        <w:jc w:val="both"/>
      </w:pPr>
      <w:r w:rsidRPr="31E80D58" w:rsidR="2CAB3BE1">
        <w:rPr>
          <w:b w:val="1"/>
          <w:bCs w:val="1"/>
        </w:rPr>
        <w:t>INTRODUÇÃO:</w:t>
      </w:r>
      <w:r w:rsidR="2CAB3BE1">
        <w:rPr/>
        <w:t xml:space="preserve"> Os </w:t>
      </w:r>
      <w:proofErr w:type="spellStart"/>
      <w:r w:rsidR="2CAB3BE1">
        <w:rPr/>
        <w:t>bisfosfonatos</w:t>
      </w:r>
      <w:proofErr w:type="spellEnd"/>
      <w:r w:rsidR="2CAB3BE1">
        <w:rPr/>
        <w:t xml:space="preserve"> (</w:t>
      </w:r>
      <w:proofErr w:type="spellStart"/>
      <w:r w:rsidR="2CAB3BE1">
        <w:rPr/>
        <w:t>BPs</w:t>
      </w:r>
      <w:proofErr w:type="spellEnd"/>
      <w:r w:rsidR="2CAB3BE1">
        <w:rPr/>
        <w:t xml:space="preserve">) possuem elevada relação com o tecido ósseo através da ação inibitória da atividade osteoclástica. Esses fármacos são indicados para o tratamento de patologias ósseas como osteoporose, doença de </w:t>
      </w:r>
      <w:proofErr w:type="spellStart"/>
      <w:r w:rsidR="2CAB3BE1">
        <w:rPr/>
        <w:t>Paget</w:t>
      </w:r>
      <w:proofErr w:type="spellEnd"/>
      <w:r w:rsidR="2CAB3BE1">
        <w:rPr/>
        <w:t xml:space="preserve"> e na prevenção de agravos ósseos. Também atuam na terapêutica das hipercalcemias malignas. Esses grupos de medicamentos apresentam peculiaridade pelo tecido ósseo pela sua afinidade de ligação com os fosfatos de cálcio. </w:t>
      </w:r>
      <w:r w:rsidR="2CAB3BE1">
        <w:rPr/>
        <w:t xml:space="preserve">Apesar de amenizar a morbidade e melhorar a qualidade de vida, a longo prazo os </w:t>
      </w:r>
      <w:proofErr w:type="spellStart"/>
      <w:r w:rsidR="2CAB3BE1">
        <w:rPr/>
        <w:t>BPs</w:t>
      </w:r>
      <w:proofErr w:type="spellEnd"/>
      <w:r w:rsidR="2CAB3BE1">
        <w:rPr/>
        <w:t xml:space="preserve"> podem induzir complicações sistêmicas no sistema urinário, gastrointestinal e ósseo, além de ocorrências de artralgia.</w:t>
      </w:r>
      <w:r w:rsidR="2CAB3BE1">
        <w:rPr/>
        <w:t xml:space="preserve"> Diante disso, como qualquer outro medicamento, os </w:t>
      </w:r>
      <w:proofErr w:type="spellStart"/>
      <w:r w:rsidR="2CAB3BE1">
        <w:rPr/>
        <w:t>BPs</w:t>
      </w:r>
      <w:proofErr w:type="spellEnd"/>
      <w:r w:rsidR="2CAB3BE1">
        <w:rPr/>
        <w:t xml:space="preserve"> possuem efeitos colaterais. Entretanto não existem muitos estudos que comprovem a hipótese de que usuários de </w:t>
      </w:r>
      <w:proofErr w:type="spellStart"/>
      <w:r w:rsidR="2CAB3BE1">
        <w:rPr/>
        <w:t>BPs</w:t>
      </w:r>
      <w:proofErr w:type="spellEnd"/>
      <w:r w:rsidR="2CAB3BE1">
        <w:rPr/>
        <w:t xml:space="preserve"> não apresentam efeito colateral pós terapia endodôntica na região </w:t>
      </w:r>
      <w:proofErr w:type="spellStart"/>
      <w:r w:rsidR="2CAB3BE1">
        <w:rPr/>
        <w:t>peirradicular</w:t>
      </w:r>
      <w:proofErr w:type="spellEnd"/>
      <w:r w:rsidR="2CAB3BE1">
        <w:rPr/>
        <w:t xml:space="preserve">. </w:t>
      </w:r>
      <w:r w:rsidRPr="31E80D58" w:rsidR="2CAB3BE1">
        <w:rPr>
          <w:b w:val="1"/>
          <w:bCs w:val="1"/>
        </w:rPr>
        <w:t>OBJETIVO:</w:t>
      </w:r>
      <w:r w:rsidR="2CAB3BE1">
        <w:rPr/>
        <w:t xml:space="preserve"> Verificar através de uma revisão narrativa da literatura a influência do uso dos </w:t>
      </w:r>
      <w:proofErr w:type="spellStart"/>
      <w:r w:rsidR="2CAB3BE1">
        <w:rPr/>
        <w:t>BPs</w:t>
      </w:r>
      <w:proofErr w:type="spellEnd"/>
      <w:r w:rsidR="2CAB3BE1">
        <w:rPr/>
        <w:t xml:space="preserve"> nas lesões </w:t>
      </w:r>
      <w:proofErr w:type="spellStart"/>
      <w:r w:rsidR="2CAB3BE1">
        <w:rPr/>
        <w:t>periapicais</w:t>
      </w:r>
      <w:proofErr w:type="spellEnd"/>
      <w:r w:rsidR="2CAB3BE1">
        <w:rPr/>
        <w:t xml:space="preserve"> e se a terapia endodôntica é mais segura que a </w:t>
      </w:r>
      <w:proofErr w:type="spellStart"/>
      <w:r w:rsidR="2CAB3BE1">
        <w:rPr/>
        <w:t>exodontia</w:t>
      </w:r>
      <w:proofErr w:type="spellEnd"/>
      <w:r w:rsidR="2CAB3BE1">
        <w:rPr/>
        <w:t xml:space="preserve"> em pacientes que fazem uso de </w:t>
      </w:r>
      <w:proofErr w:type="spellStart"/>
      <w:r w:rsidR="2CAB3BE1">
        <w:rPr/>
        <w:t>BPs</w:t>
      </w:r>
      <w:proofErr w:type="spellEnd"/>
      <w:r w:rsidR="2CAB3BE1">
        <w:rPr/>
        <w:t xml:space="preserve">.  </w:t>
      </w:r>
      <w:r w:rsidRPr="31E80D58" w:rsidR="2CAB3BE1">
        <w:rPr>
          <w:b w:val="1"/>
          <w:bCs w:val="1"/>
        </w:rPr>
        <w:t>MATERIAIS E MÉTODOS:</w:t>
      </w:r>
      <w:r w:rsidR="2CAB3BE1">
        <w:rPr/>
        <w:t xml:space="preserve"> </w:t>
      </w:r>
      <w:r w:rsidR="2DBFA993">
        <w:rPr/>
        <w:t>F</w:t>
      </w:r>
      <w:r w:rsidR="2CAB3BE1">
        <w:rPr/>
        <w:t xml:space="preserve">oi realizada uma busca através das bases de dados Periódicos Capes, </w:t>
      </w:r>
      <w:proofErr w:type="spellStart"/>
      <w:r w:rsidR="2CAB3BE1">
        <w:rPr/>
        <w:t>Scielo</w:t>
      </w:r>
      <w:proofErr w:type="spellEnd"/>
      <w:r w:rsidR="2CAB3BE1">
        <w:rPr/>
        <w:t xml:space="preserve">, </w:t>
      </w:r>
      <w:proofErr w:type="spellStart"/>
      <w:r w:rsidR="2CAB3BE1">
        <w:rPr/>
        <w:t>Lilacs</w:t>
      </w:r>
      <w:proofErr w:type="spellEnd"/>
      <w:r w:rsidR="2CAB3BE1">
        <w:rPr/>
        <w:t xml:space="preserve">, </w:t>
      </w:r>
      <w:proofErr w:type="spellStart"/>
      <w:r w:rsidR="2CAB3BE1">
        <w:rPr/>
        <w:t>PubMed</w:t>
      </w:r>
      <w:proofErr w:type="spellEnd"/>
      <w:r w:rsidR="2CAB3BE1">
        <w:rPr/>
        <w:t xml:space="preserve"> e Google Acadêmico de artigos publicados entre 2005 e 2021. Foram incluídos relatos de caso, pesquisas in vitro</w:t>
      </w:r>
      <w:r w:rsidR="2CAB3BE1">
        <w:rPr/>
        <w:t>, estudos em animais e revisões sistemáticas</w:t>
      </w:r>
      <w:r w:rsidR="4DF5BC67">
        <w:rPr/>
        <w:t xml:space="preserve"> dentro do tema proposto do estudo</w:t>
      </w:r>
      <w:r w:rsidR="2CAB3BE1">
        <w:rPr/>
        <w:t xml:space="preserve">. Os critérios de exclusão foram: estudos que não abordam a temática determinada, artigos duplicados e pesquisas com crianças. </w:t>
      </w:r>
      <w:r w:rsidRPr="31E80D58" w:rsidR="2CAB3BE1">
        <w:rPr>
          <w:b w:val="1"/>
          <w:bCs w:val="1"/>
        </w:rPr>
        <w:t>RESULTADOS:</w:t>
      </w:r>
      <w:r w:rsidR="2CAB3BE1">
        <w:rPr/>
        <w:t xml:space="preserve"> Foram selecionados 146 artigos através do resumo e título, destes 26 foram separados para serem lidos na íntegra, restando em 14 artigos pertinentes ao tema. Destes quatro artigos demonstraram que o uso de </w:t>
      </w:r>
      <w:proofErr w:type="spellStart"/>
      <w:r w:rsidR="2CAB3BE1">
        <w:rPr/>
        <w:t>BPs</w:t>
      </w:r>
      <w:proofErr w:type="spellEnd"/>
      <w:r w:rsidR="2CAB3BE1">
        <w:rPr/>
        <w:t xml:space="preserve"> diminuiu a reabsorção óssea nas lesões </w:t>
      </w:r>
      <w:proofErr w:type="spellStart"/>
      <w:r w:rsidR="2CAB3BE1">
        <w:rPr/>
        <w:t>periapicais</w:t>
      </w:r>
      <w:proofErr w:type="spellEnd"/>
      <w:r w:rsidR="2CAB3BE1">
        <w:rPr/>
        <w:t xml:space="preserve">, dois artigos concluíram que a presença de lesão </w:t>
      </w:r>
      <w:proofErr w:type="spellStart"/>
      <w:r w:rsidR="2CAB3BE1">
        <w:rPr/>
        <w:t>periapical</w:t>
      </w:r>
      <w:proofErr w:type="spellEnd"/>
      <w:r w:rsidR="2CAB3BE1">
        <w:rPr/>
        <w:t xml:space="preserve"> aumenta a chance de osteonecrose pós </w:t>
      </w:r>
      <w:proofErr w:type="spellStart"/>
      <w:r w:rsidR="2CAB3BE1">
        <w:rPr/>
        <w:t>exodontia</w:t>
      </w:r>
      <w:proofErr w:type="spellEnd"/>
      <w:r w:rsidR="2CAB3BE1">
        <w:rPr/>
        <w:t xml:space="preserve">, sete trabalhos relataram ser a terapia endodôntica uma opção mais segura à </w:t>
      </w:r>
      <w:proofErr w:type="spellStart"/>
      <w:r w:rsidR="2CAB3BE1">
        <w:rPr/>
        <w:t>exodontia</w:t>
      </w:r>
      <w:proofErr w:type="spellEnd"/>
      <w:r w:rsidR="2CAB3BE1">
        <w:rPr/>
        <w:t xml:space="preserve"> para pacientes usuários de </w:t>
      </w:r>
      <w:proofErr w:type="spellStart"/>
      <w:r w:rsidR="2CAB3BE1">
        <w:rPr/>
        <w:t>BPs</w:t>
      </w:r>
      <w:proofErr w:type="spellEnd"/>
      <w:r w:rsidR="2CAB3BE1">
        <w:rPr/>
        <w:t xml:space="preserve"> e um artigo alertou para diminuição do reparo ósseo após a terapia endodôntica após um ano. </w:t>
      </w:r>
      <w:r w:rsidRPr="31E80D58" w:rsidR="2CAB3BE1">
        <w:rPr>
          <w:b w:val="1"/>
          <w:bCs w:val="1"/>
        </w:rPr>
        <w:t>DISCUSSÃO:</w:t>
      </w:r>
      <w:r w:rsidR="2CAB3BE1">
        <w:rPr/>
        <w:t xml:space="preserve"> No contexto odontológico, têm sido descritos casos na literatura como possíveis fatores de risco para o desenvolvimento de osteonecrose da mandíbula pós </w:t>
      </w:r>
      <w:proofErr w:type="spellStart"/>
      <w:r w:rsidR="2CAB3BE1">
        <w:rPr/>
        <w:t>exodontia</w:t>
      </w:r>
      <w:proofErr w:type="spellEnd"/>
      <w:r w:rsidR="2CAB3BE1">
        <w:rPr/>
        <w:t xml:space="preserve">, relacionado ao uso de </w:t>
      </w:r>
      <w:proofErr w:type="spellStart"/>
      <w:r w:rsidR="2CAB3BE1">
        <w:rPr/>
        <w:t>BPs</w:t>
      </w:r>
      <w:proofErr w:type="spellEnd"/>
      <w:r w:rsidR="2CAB3BE1">
        <w:rPr/>
        <w:t xml:space="preserve">. </w:t>
      </w:r>
      <w:r w:rsidR="2CAB3BE1">
        <w:rPr/>
        <w:t xml:space="preserve"> </w:t>
      </w:r>
      <w:r w:rsidR="34BD6B81">
        <w:rPr/>
        <w:t>Portanto, procedimentos</w:t>
      </w:r>
      <w:r w:rsidR="2CAB3BE1">
        <w:rPr/>
        <w:t xml:space="preserve"> que envolvem trauma ósseo, como a extração dentária, devem ser evitados em pacientes que fazem uso de medicação </w:t>
      </w:r>
      <w:proofErr w:type="spellStart"/>
      <w:r w:rsidR="2CAB3BE1">
        <w:rPr/>
        <w:t>antirreabsortiva</w:t>
      </w:r>
      <w:proofErr w:type="spellEnd"/>
      <w:r w:rsidR="2CAB3BE1">
        <w:rPr/>
        <w:t xml:space="preserve">. Nesses casos, a terapêutica endodôntica convencional pode ser menos traumática em comparação à </w:t>
      </w:r>
      <w:proofErr w:type="spellStart"/>
      <w:r w:rsidR="2CAB3BE1">
        <w:rPr/>
        <w:t>exodontia</w:t>
      </w:r>
      <w:proofErr w:type="spellEnd"/>
      <w:r w:rsidR="2CAB3BE1">
        <w:rPr/>
        <w:t xml:space="preserve">. </w:t>
      </w:r>
      <w:r w:rsidRPr="31E80D58" w:rsidR="2CAB3BE1">
        <w:rPr>
          <w:b w:val="1"/>
          <w:bCs w:val="1"/>
        </w:rPr>
        <w:t>CONSIDERAÇÕES</w:t>
      </w:r>
      <w:r w:rsidRPr="31E80D58" w:rsidR="2CAB3BE1">
        <w:rPr>
          <w:b w:val="1"/>
          <w:bCs w:val="1"/>
        </w:rPr>
        <w:t xml:space="preserve"> FINAIS:</w:t>
      </w:r>
      <w:r w:rsidR="2CAB3BE1">
        <w:rPr/>
        <w:t xml:space="preserve"> Pode concluir que os </w:t>
      </w:r>
      <w:proofErr w:type="spellStart"/>
      <w:r w:rsidR="2CAB3BE1">
        <w:rPr/>
        <w:t>BPs</w:t>
      </w:r>
      <w:proofErr w:type="spellEnd"/>
      <w:r w:rsidR="2CAB3BE1">
        <w:rPr/>
        <w:t xml:space="preserve"> podem diminuir o processo de reabsorção nas lesões </w:t>
      </w:r>
      <w:proofErr w:type="spellStart"/>
      <w:r w:rsidR="2CAB3BE1">
        <w:rPr/>
        <w:t>periapicais</w:t>
      </w:r>
      <w:proofErr w:type="spellEnd"/>
      <w:r w:rsidR="2CAB3BE1">
        <w:rPr/>
        <w:t xml:space="preserve">, que a presença de lesão </w:t>
      </w:r>
      <w:proofErr w:type="spellStart"/>
      <w:r w:rsidR="2CAB3BE1">
        <w:rPr/>
        <w:t>periapical</w:t>
      </w:r>
      <w:proofErr w:type="spellEnd"/>
      <w:r w:rsidR="2CAB3BE1">
        <w:rPr/>
        <w:t xml:space="preserve"> pode aumentar probabilidade de osteonecrose pós </w:t>
      </w:r>
      <w:proofErr w:type="spellStart"/>
      <w:r w:rsidR="2CAB3BE1">
        <w:rPr/>
        <w:t>exodontia</w:t>
      </w:r>
      <w:proofErr w:type="spellEnd"/>
      <w:r w:rsidR="2CAB3BE1">
        <w:rPr/>
        <w:t xml:space="preserve"> e que a terapia endodôntica é mais segura que a </w:t>
      </w:r>
      <w:proofErr w:type="spellStart"/>
      <w:r w:rsidR="2CAB3BE1">
        <w:rPr/>
        <w:t>exodontia</w:t>
      </w:r>
      <w:proofErr w:type="spellEnd"/>
      <w:r w:rsidR="2CAB3BE1">
        <w:rPr/>
        <w:t xml:space="preserve"> para usuários de </w:t>
      </w:r>
      <w:proofErr w:type="spellStart"/>
      <w:r w:rsidR="2CAB3BE1">
        <w:rPr/>
        <w:t>BPs</w:t>
      </w:r>
      <w:proofErr w:type="spellEnd"/>
      <w:r w:rsidR="2CAB3BE1">
        <w:rPr/>
        <w:t>.</w:t>
      </w:r>
    </w:p>
    <w:p w:rsidRPr="007F45CD" w:rsidR="000F45F0" w:rsidP="001040CD" w:rsidRDefault="00167A5E" w14:paraId="18CA7DB5" w14:textId="61C88490">
      <w:pPr>
        <w:pStyle w:val="Corpodetexto"/>
        <w:spacing w:line="360" w:lineRule="auto"/>
        <w:jc w:val="both"/>
      </w:pPr>
      <w:r w:rsidRPr="007F45CD" w:rsidR="0034223A">
        <w:rPr>
          <w:spacing w:val="1"/>
        </w:rPr>
        <w:t xml:space="preserve"> </w:t>
      </w:r>
    </w:p>
    <w:p w:rsidRPr="007F45CD" w:rsidR="000F45F0" w:rsidP="2CAB3BE1" w:rsidRDefault="0034223A" w14:paraId="1E7FC2EE" w14:textId="44BCBBB2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2CAB3BE1" w:rsidR="0034223A">
        <w:rPr>
          <w:b w:val="1"/>
          <w:bCs w:val="1"/>
          <w:spacing w:val="-1"/>
          <w:sz w:val="24"/>
          <w:szCs w:val="24"/>
        </w:rPr>
        <w:t>Palavras-chave:</w:t>
      </w:r>
      <w:r w:rsidRPr="2CAB3BE1" w:rsidR="0034223A">
        <w:rPr>
          <w:b w:val="1"/>
          <w:bCs w:val="1"/>
          <w:spacing w:val="-16"/>
          <w:sz w:val="24"/>
          <w:szCs w:val="24"/>
        </w:rPr>
        <w:t xml:space="preserve"> </w:t>
      </w:r>
      <w:proofErr w:type="spellStart"/>
      <w:r w:rsidRPr="2CAB3BE1" w:rsidR="2CAB3B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Bifosfonato</w:t>
      </w:r>
      <w:proofErr w:type="spellEnd"/>
      <w:r w:rsidRPr="2CAB3BE1" w:rsidR="2CAB3B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; </w:t>
      </w:r>
      <w:proofErr w:type="spellStart"/>
      <w:r w:rsidRPr="2CAB3BE1" w:rsidR="2CAB3B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Exodontia</w:t>
      </w:r>
      <w:proofErr w:type="spellEnd"/>
      <w:r w:rsidRPr="2CAB3BE1" w:rsidR="2CAB3B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; Osteonecrose; Terapia Endodôntica</w:t>
      </w:r>
      <w:r w:rsidRPr="2CAB3BE1" w:rsidR="2CAB3B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w:rsidRPr="007F45CD" w:rsidR="000F45F0" w:rsidP="001040CD" w:rsidRDefault="000F45F0" w14:paraId="2665E3C7" w14:textId="77777777">
      <w:pPr>
        <w:pStyle w:val="Corpodetexto"/>
        <w:spacing w:line="360" w:lineRule="auto"/>
      </w:pPr>
    </w:p>
    <w:p w:rsidRPr="007F45CD" w:rsidR="000F45F0" w:rsidP="2CAB3BE1" w:rsidRDefault="000F45F0" w14:paraId="4C96F16B" w14:textId="048494F2">
      <w:pPr>
        <w:spacing w:line="374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2CAB3BE1" w:rsidR="2CAB3BE1">
        <w:rPr>
          <w:rFonts w:ascii="Arial Narrow" w:hAnsi="Arial Narrow" w:eastAsia="Arial Narrow" w:cs="Arial Narrow"/>
          <w:noProof w:val="0"/>
          <w:sz w:val="24"/>
          <w:szCs w:val="24"/>
          <w:lang w:val="pt-PT"/>
        </w:rPr>
        <w:t xml:space="preserve"> </w:t>
      </w:r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ALRAHABI, M. K.; GHABBANI, H. M.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Clinical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impact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of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bisphosphonates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in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root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canal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therapy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.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Saudi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Medical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Journal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, v. 39, n. 3, p. 232-238, mar. 2018.</w:t>
      </w:r>
    </w:p>
    <w:p w:rsidRPr="007F45CD" w:rsidR="000F45F0" w:rsidP="2CAB3BE1" w:rsidRDefault="000F45F0" w14:paraId="0ACD9867" w14:textId="4C5C795B">
      <w:pPr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ANDERSEN, S. W. M.; JENSEN, S. S.; SCHIODT, M. Apical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surgery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in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cancer</w:t>
      </w:r>
      <w:proofErr w:type="spellEnd"/>
    </w:p>
    <w:p w:rsidRPr="007F45CD" w:rsidR="000F45F0" w:rsidP="2CAB3BE1" w:rsidRDefault="000F45F0" w14:paraId="5D25D21D" w14:textId="7BA047DE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patients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receiving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high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-dose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antiresorptive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medication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—a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retrospective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clinical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study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with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a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mean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follow-up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of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13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months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. Oral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And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Maxillofacial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Surgery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, v. 25, n. 2, p.</w:t>
      </w:r>
    </w:p>
    <w:p w:rsidRPr="007F45CD" w:rsidR="000F45F0" w:rsidP="2CAB3BE1" w:rsidRDefault="000F45F0" w14:paraId="0FF68B48" w14:textId="10990CC1">
      <w:pPr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237-246, 24 set. 2020.</w:t>
      </w:r>
    </w:p>
    <w:p w:rsidRPr="007F45CD" w:rsidR="000F45F0" w:rsidP="2CAB3BE1" w:rsidRDefault="000F45F0" w14:paraId="792C2B2A" w14:textId="3936A67E">
      <w:pPr>
        <w:spacing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31E80D58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BOLETTE, A.; LECLOUX, G.; ROMPEN, E.; ALBERT, A.; KERCKHOFS, G.;</w:t>
      </w:r>
    </w:p>
    <w:p w:rsidRPr="007F45CD" w:rsidR="000F45F0" w:rsidP="2CAB3BE1" w:rsidRDefault="000F45F0" w14:paraId="564B3E78" w14:textId="2192D666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BORROMEO, G., TSAO, C., DARBY, I., EBELING, P. Uma revisão das implicações clínicas dos bifosfonatos na odontologia. Australian Dental Journal, v. 56: p. 2-9,</w:t>
      </w:r>
    </w:p>
    <w:p w:rsidRPr="007F45CD" w:rsidR="000F45F0" w:rsidP="2CAB3BE1" w:rsidRDefault="000F45F0" w14:paraId="1FED83E5" w14:textId="5326A03E">
      <w:pPr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2011.</w:t>
      </w:r>
    </w:p>
    <w:p w:rsidRPr="007F45CD" w:rsidR="000F45F0" w:rsidP="2CAB3BE1" w:rsidRDefault="000F45F0" w14:paraId="5B15F3AE" w14:textId="4D2862C0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CORREIA, V. F. P., CALDEIRA, C. L., MARQUES, M. M. Avaliação da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citotoxicidade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do </w:t>
      </w:r>
      <w:proofErr w:type="spellStart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alendronato</w:t>
      </w:r>
      <w:proofErr w:type="spellEnd"/>
      <w:r w:rsidRPr="2CAB3BE1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 de sódio em cultura de fibroblastos do ligamento periodontal</w:t>
      </w:r>
    </w:p>
    <w:p w:rsidRPr="007F45CD" w:rsidR="000F45F0" w:rsidP="2CAB3BE1" w:rsidRDefault="000F45F0" w14:paraId="6B15C024" w14:textId="3E4D5DC1">
      <w:pPr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31E80D58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humano. </w:t>
      </w:r>
      <w:r w:rsidRPr="31E80D58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 xml:space="preserve">Dental </w:t>
      </w:r>
      <w:proofErr w:type="spellStart"/>
      <w:r w:rsidRPr="31E80D58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Traumatology</w:t>
      </w:r>
      <w:proofErr w:type="spellEnd"/>
      <w:r w:rsidRPr="31E80D58" w:rsidR="2CAB3BE1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, v. 22, p. 312-317, 2006.</w:t>
      </w:r>
    </w:p>
    <w:p w:rsidR="2754C69C" w:rsidP="31E80D58" w:rsidRDefault="2754C69C" w14:paraId="7FACBD77" w14:textId="0B992006">
      <w:pPr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31E80D58" w:rsidR="2754C6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LAMBERT, F. Influence of induced infection in medication-related osteonecrosis of the jaw development after tooth extraction: a study in rats. Journal Of Cranio-</w:t>
      </w:r>
    </w:p>
    <w:p w:rsidR="2754C69C" w:rsidP="31E80D58" w:rsidRDefault="2754C69C" w14:paraId="14732B48" w14:textId="69F6A40E">
      <w:pPr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31E80D58" w:rsidR="2754C69C"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  <w:t>Maxillofacial Surgery, v. 47, n. 2, p. 349-356, fev. 2019.</w:t>
      </w:r>
    </w:p>
    <w:p w:rsidR="31E80D58" w:rsidP="31E80D58" w:rsidRDefault="31E80D58" w14:paraId="2E0709CB" w14:textId="28FA877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</w:p>
    <w:p w:rsidRPr="007F45CD" w:rsidR="000F45F0" w:rsidP="2CAB3BE1" w:rsidRDefault="000F45F0" w14:paraId="07BCA30A" w14:textId="4CEF75A2">
      <w:pPr>
        <w:pStyle w:val="Corpodetex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5C4AD1" w:rsidP="005C4AD1" w:rsidRDefault="005C4AD1" w14:paraId="7FB52C8D" w14:textId="77777777">
      <w:pPr>
        <w:pStyle w:val="Corpodetexto"/>
        <w:spacing w:line="360" w:lineRule="auto"/>
        <w:jc w:val="both"/>
      </w:pPr>
    </w:p>
    <w:p w:rsidR="005C4AD1" w:rsidP="005C4AD1" w:rsidRDefault="005C4AD1" w14:paraId="11B996F6" w14:textId="1746519A">
      <w:pPr>
        <w:pStyle w:val="Corpodetexto"/>
        <w:spacing w:line="360" w:lineRule="auto"/>
        <w:jc w:val="both"/>
        <w:sectPr w:rsidR="005C4AD1" w:rsidSect="001040CD">
          <w:headerReference w:type="default" r:id="rId9"/>
          <w:pgSz w:w="11920" w:h="16840" w:orient="portrait"/>
          <w:pgMar w:top="1701" w:right="1134" w:bottom="1134" w:left="1701" w:header="720" w:footer="720" w:gutter="0"/>
          <w:cols w:space="720"/>
        </w:sectPr>
      </w:pPr>
    </w:p>
    <w:p w:rsidR="2CAB3BE1" w:rsidRDefault="2CAB3BE1" w14:paraId="7E6D3466" w14:textId="4CD2143F">
      <w:pPr>
        <w:sectPr w:rsidR="000F45F0" w:rsidSect="001040CD">
          <w:pgSz w:w="11920" w:h="16840" w:orient="portrait"/>
          <w:pgMar w:top="1701" w:right="1134" w:bottom="1134" w:left="1701" w:header="720" w:footer="720" w:gutter="0"/>
          <w:cols w:space="720"/>
        </w:sectPr>
      </w:pPr>
    </w:p>
    <w:p w:rsidRPr="00EE1582" w:rsidR="00EE1582" w:rsidP="00EE1582" w:rsidRDefault="00EE1582" w14:paraId="686F6514" w14:textId="1EE5FF49">
      <w:pPr>
        <w:rPr>
          <w:sz w:val="24"/>
          <w:szCs w:val="24"/>
        </w:rPr>
        <w:sectPr w:rsidRPr="00EE1582" w:rsidR="00EE1582" w:rsidSect="0034651B">
          <w:pgSz w:w="11920" w:h="16840" w:orient="portrait"/>
          <w:pgMar w:top="1701" w:right="1134" w:bottom="1134" w:left="1701" w:header="720" w:footer="720" w:gutter="0"/>
          <w:cols w:space="720"/>
        </w:sectPr>
      </w:pPr>
    </w:p>
    <w:p w:rsidRPr="007F45CD" w:rsidR="005314B1" w:rsidP="007F45CD" w:rsidRDefault="005314B1" w14:paraId="5B12DCF6" w14:textId="77777777">
      <w:pPr>
        <w:pStyle w:val="Corpodetexto"/>
        <w:spacing w:line="360" w:lineRule="auto"/>
        <w:jc w:val="both"/>
      </w:pPr>
    </w:p>
    <w:sectPr w:rsidRPr="007F45CD" w:rsidR="005314B1" w:rsidSect="003F16B8">
      <w:pgSz w:w="11920" w:h="16840" w:orient="portrait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334B" w:rsidP="006C1C32" w:rsidRDefault="00FB334B" w14:paraId="2BA57639" w14:textId="77777777">
      <w:r>
        <w:separator/>
      </w:r>
    </w:p>
  </w:endnote>
  <w:endnote w:type="continuationSeparator" w:id="0">
    <w:p w:rsidR="00FB334B" w:rsidP="006C1C32" w:rsidRDefault="00FB334B" w14:paraId="12430F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334B" w:rsidP="006C1C32" w:rsidRDefault="00FB334B" w14:paraId="7131316A" w14:textId="77777777">
      <w:r>
        <w:separator/>
      </w:r>
    </w:p>
  </w:footnote>
  <w:footnote w:type="continuationSeparator" w:id="0">
    <w:p w:rsidR="00FB334B" w:rsidP="006C1C32" w:rsidRDefault="00FB334B" w14:paraId="7B7508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1C32" w:rsidRDefault="006C1C32" w14:paraId="5EC3FBF0" w14:textId="167B8D9F">
    <w:pPr>
      <w:pStyle w:val="Cabealho"/>
      <w:jc w:val="right"/>
    </w:pPr>
  </w:p>
  <w:p w:rsidR="006C1C32" w:rsidRDefault="006C1C32" w14:paraId="28EA3753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hint="default" w:ascii="Wingdings" w:hAnsi="Wingdings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57282">
    <w:abstractNumId w:val="5"/>
  </w:num>
  <w:num w:numId="2" w16cid:durableId="1702320722">
    <w:abstractNumId w:val="4"/>
  </w:num>
  <w:num w:numId="3" w16cid:durableId="57477379">
    <w:abstractNumId w:val="8"/>
  </w:num>
  <w:num w:numId="4" w16cid:durableId="1287276400">
    <w:abstractNumId w:val="9"/>
  </w:num>
  <w:num w:numId="5" w16cid:durableId="724373019">
    <w:abstractNumId w:val="2"/>
  </w:num>
  <w:num w:numId="6" w16cid:durableId="2015306373">
    <w:abstractNumId w:val="7"/>
  </w:num>
  <w:num w:numId="7" w16cid:durableId="922495838">
    <w:abstractNumId w:val="1"/>
  </w:num>
  <w:num w:numId="8" w16cid:durableId="1654021029">
    <w:abstractNumId w:val="3"/>
  </w:num>
  <w:num w:numId="9" w16cid:durableId="1643585373">
    <w:abstractNumId w:val="0"/>
  </w:num>
  <w:num w:numId="10" w16cid:durableId="1045328975">
    <w:abstractNumId w:val="6"/>
  </w:num>
  <w:num w:numId="11" w16cid:durableId="1850216809">
    <w:abstractNumId w:val="11"/>
  </w:num>
  <w:num w:numId="12" w16cid:durableId="1594971088">
    <w:abstractNumId w:val="13"/>
  </w:num>
  <w:num w:numId="13" w16cid:durableId="1523974296">
    <w:abstractNumId w:val="10"/>
  </w:num>
  <w:num w:numId="14" w16cid:durableId="613172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trackRevisions w:val="false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0"/>
    <w:rsid w:val="00071C33"/>
    <w:rsid w:val="000A1E34"/>
    <w:rsid w:val="000A3938"/>
    <w:rsid w:val="000C4BBC"/>
    <w:rsid w:val="000F45F0"/>
    <w:rsid w:val="001040CD"/>
    <w:rsid w:val="001252C4"/>
    <w:rsid w:val="00167A5E"/>
    <w:rsid w:val="001931BB"/>
    <w:rsid w:val="001D15FB"/>
    <w:rsid w:val="001E0776"/>
    <w:rsid w:val="002044BB"/>
    <w:rsid w:val="00213275"/>
    <w:rsid w:val="00275754"/>
    <w:rsid w:val="002935AD"/>
    <w:rsid w:val="002D2582"/>
    <w:rsid w:val="002D2CA3"/>
    <w:rsid w:val="002F02EB"/>
    <w:rsid w:val="002F59EF"/>
    <w:rsid w:val="00324E3C"/>
    <w:rsid w:val="0034223A"/>
    <w:rsid w:val="0034651B"/>
    <w:rsid w:val="003C4F12"/>
    <w:rsid w:val="003F16B8"/>
    <w:rsid w:val="004012A9"/>
    <w:rsid w:val="004101CB"/>
    <w:rsid w:val="00450E1F"/>
    <w:rsid w:val="004A317B"/>
    <w:rsid w:val="004F51A8"/>
    <w:rsid w:val="00505CE0"/>
    <w:rsid w:val="00527577"/>
    <w:rsid w:val="005314B1"/>
    <w:rsid w:val="005368CD"/>
    <w:rsid w:val="005460BA"/>
    <w:rsid w:val="00585597"/>
    <w:rsid w:val="005C4AD1"/>
    <w:rsid w:val="005E06BA"/>
    <w:rsid w:val="005E2805"/>
    <w:rsid w:val="00633EE4"/>
    <w:rsid w:val="00634C75"/>
    <w:rsid w:val="00643B03"/>
    <w:rsid w:val="006C1C32"/>
    <w:rsid w:val="00732F79"/>
    <w:rsid w:val="00762BD3"/>
    <w:rsid w:val="007949D7"/>
    <w:rsid w:val="007D5151"/>
    <w:rsid w:val="007F2E4D"/>
    <w:rsid w:val="007F45CD"/>
    <w:rsid w:val="00863ECC"/>
    <w:rsid w:val="00893F36"/>
    <w:rsid w:val="008C2D37"/>
    <w:rsid w:val="008D77B3"/>
    <w:rsid w:val="009868F5"/>
    <w:rsid w:val="00A74BB1"/>
    <w:rsid w:val="00AE3256"/>
    <w:rsid w:val="00BE3C04"/>
    <w:rsid w:val="00C26F58"/>
    <w:rsid w:val="00CE5ABE"/>
    <w:rsid w:val="00D254C8"/>
    <w:rsid w:val="00DE6CCB"/>
    <w:rsid w:val="00DF4CFE"/>
    <w:rsid w:val="00E64E45"/>
    <w:rsid w:val="00E75D9E"/>
    <w:rsid w:val="00EE1582"/>
    <w:rsid w:val="00F151F0"/>
    <w:rsid w:val="00F6790E"/>
    <w:rsid w:val="00F72C84"/>
    <w:rsid w:val="00F825AB"/>
    <w:rsid w:val="00FB148F"/>
    <w:rsid w:val="00FB334B"/>
    <w:rsid w:val="00FC67A5"/>
    <w:rsid w:val="01F0F75F"/>
    <w:rsid w:val="038CC7C0"/>
    <w:rsid w:val="09D168A7"/>
    <w:rsid w:val="1330B25F"/>
    <w:rsid w:val="1AA9F12C"/>
    <w:rsid w:val="1ADB4F64"/>
    <w:rsid w:val="2437AB15"/>
    <w:rsid w:val="2754C69C"/>
    <w:rsid w:val="2CAB3BE1"/>
    <w:rsid w:val="2DBFA993"/>
    <w:rsid w:val="31E80D58"/>
    <w:rsid w:val="34871A9D"/>
    <w:rsid w:val="34BD6B81"/>
    <w:rsid w:val="358655F0"/>
    <w:rsid w:val="3D422776"/>
    <w:rsid w:val="3F710035"/>
    <w:rsid w:val="41380DC1"/>
    <w:rsid w:val="46A4AA45"/>
    <w:rsid w:val="46AA0E3A"/>
    <w:rsid w:val="471215C7"/>
    <w:rsid w:val="47775755"/>
    <w:rsid w:val="4DF5BC67"/>
    <w:rsid w:val="4F8F1185"/>
    <w:rsid w:val="52565C05"/>
    <w:rsid w:val="52C6B247"/>
    <w:rsid w:val="54284563"/>
    <w:rsid w:val="5A5BE455"/>
    <w:rsid w:val="5C5C8B8C"/>
    <w:rsid w:val="5E9E49DF"/>
    <w:rsid w:val="603A1A40"/>
    <w:rsid w:val="61A9B66D"/>
    <w:rsid w:val="6877792E"/>
    <w:rsid w:val="73C8D9AC"/>
    <w:rsid w:val="78370941"/>
    <w:rsid w:val="7C87459A"/>
    <w:rsid w:val="7E1FB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styleId="TableParagraph" w:customStyle="1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C1C32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C1C32"/>
    <w:rPr>
      <w:rFonts w:ascii="Times New Roman" w:hAnsi="Times New Roman" w:eastAsia="Times New Roman" w:cs="Times New Roman"/>
      <w:lang w:val="pt-PT"/>
    </w:rPr>
  </w:style>
  <w:style w:type="character" w:styleId="Nenhum" w:customStyle="true">
    <w:uiPriority w:val="1"/>
    <w:name w:val="Nenhum"/>
    <w:basedOn w:val="Fontepargpadro"/>
    <w:rsid w:val="2CAB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1BB2-B5B5-4749-A79D-D15C73D445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Bilio</dc:creator>
  <lastModifiedBy>Rosa Raquel Pinto Guedes Marques</lastModifiedBy>
  <revision>4</revision>
  <lastPrinted>2022-06-17T02:21:00.0000000Z</lastPrinted>
  <dcterms:created xsi:type="dcterms:W3CDTF">2022-06-17T02:24:00.0000000Z</dcterms:created>
  <dcterms:modified xsi:type="dcterms:W3CDTF">2022-08-24T22:52:18.7097582Z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