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rPr>
      </w:pPr>
      <w:r w:rsidDel="00000000" w:rsidR="00000000" w:rsidRPr="00000000">
        <w:rPr>
          <w:b w:val="1"/>
          <w:sz w:val="24"/>
          <w:szCs w:val="24"/>
          <w:rtl w:val="0"/>
        </w:rPr>
        <w:t xml:space="preserve">FATORES DE RISCO PARA GLAUCOMA PRIMÁRIO DE ÂNGULO ABERTO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103"/>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Thifisson Ribeiro de Souza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Suyanne Lobato Rodrigues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Fabiane da Costa Figueiredo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Thiago Ribeiro de Souza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Graduando em </w:t>
      </w:r>
      <w:r w:rsidDel="00000000" w:rsidR="00000000" w:rsidRPr="00000000">
        <w:rPr>
          <w:sz w:val="24"/>
          <w:szCs w:val="24"/>
          <w:rtl w:val="0"/>
        </w:rPr>
        <w:t xml:space="preserve">Medicina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pel</w:t>
      </w:r>
      <w:r w:rsidDel="00000000" w:rsidR="00000000" w:rsidRPr="00000000">
        <w:rPr>
          <w:sz w:val="24"/>
          <w:szCs w:val="24"/>
          <w:rtl w:val="0"/>
        </w:rPr>
        <w:t xml:space="preserve">a Universidade de Rio Verde - UniRV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Rio Verde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Goiás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Graduando em </w:t>
      </w:r>
      <w:r w:rsidDel="00000000" w:rsidR="00000000" w:rsidRPr="00000000">
        <w:rPr>
          <w:sz w:val="24"/>
          <w:szCs w:val="24"/>
          <w:rtl w:val="0"/>
        </w:rPr>
        <w:t xml:space="preserve">Medicina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w:t>
      </w:r>
      <w:r w:rsidDel="00000000" w:rsidR="00000000" w:rsidRPr="00000000">
        <w:rPr>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Centro Universitário Metropolitano da Amazônia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w:t>
      </w:r>
      <w:r w:rsidDel="00000000" w:rsidR="00000000" w:rsidRPr="00000000">
        <w:rPr>
          <w:sz w:val="24"/>
          <w:szCs w:val="24"/>
          <w:rtl w:val="0"/>
        </w:rPr>
        <w:t xml:space="preserve">NIFAMAZ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Belém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sz w:val="24"/>
          <w:szCs w:val="24"/>
          <w:rtl w:val="0"/>
        </w:rPr>
        <w:t xml:space="preserve">ará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sz w:val="24"/>
          <w:szCs w:val="24"/>
          <w:rtl w:val="0"/>
        </w:rPr>
        <w:t xml:space="preserve">Médico pelo Centro Universitário Atenas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UniAtenas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Paracatu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Minas Gerais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360" w:lineRule="auto"/>
        <w:rPr>
          <w:sz w:val="24"/>
          <w:szCs w:val="24"/>
        </w:rPr>
      </w:pPr>
      <w:r w:rsidDel="00000000" w:rsidR="00000000" w:rsidRPr="00000000">
        <w:rPr>
          <w:b w:val="1"/>
          <w:sz w:val="24"/>
          <w:szCs w:val="24"/>
          <w:rtl w:val="0"/>
        </w:rPr>
        <w:t xml:space="preserve">Área Temática</w:t>
      </w:r>
      <w:r w:rsidDel="00000000" w:rsidR="00000000" w:rsidRPr="00000000">
        <w:rPr>
          <w:sz w:val="24"/>
          <w:szCs w:val="24"/>
          <w:rtl w:val="0"/>
        </w:rPr>
        <w:t xml:space="preserve">: Ciências da Saúde</w:t>
      </w:r>
    </w:p>
    <w:p w:rsidR="00000000" w:rsidDel="00000000" w:rsidP="00000000" w:rsidRDefault="00000000" w:rsidRPr="00000000" w14:paraId="0000000B">
      <w:pPr>
        <w:spacing w:line="360" w:lineRule="auto"/>
        <w:jc w:val="both"/>
        <w:rPr>
          <w:sz w:val="24"/>
          <w:szCs w:val="24"/>
        </w:rPr>
      </w:pPr>
      <w:r w:rsidDel="00000000" w:rsidR="00000000" w:rsidRPr="00000000">
        <w:rPr>
          <w:b w:val="1"/>
          <w:sz w:val="24"/>
          <w:szCs w:val="24"/>
          <w:rtl w:val="0"/>
        </w:rPr>
        <w:t xml:space="preserve">E-mail do autor para correspondência</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thifissonribeiro@gmail.com</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r w:rsidDel="00000000" w:rsidR="00000000" w:rsidRPr="00000000">
        <w:rPr>
          <w:sz w:val="24"/>
          <w:szCs w:val="24"/>
          <w:rtl w:val="0"/>
        </w:rPr>
        <w:t xml:space="preserve">O glaucoma é a principal causa de cegueira irreversível do mundo. É considerada uma neuropatia óptica progressiva e crônica com atrofia do nervo óptico por perda de células ganglionares da retina. Entre os tipos existentes da doença, o glaucoma primário de ângulo aberto está associado ao ângulo aberto da câmara anterior, provocando alterações progressivas que podem piorar o prognóstico da visão do paciente. Por ter alta prevalência na população mundial, o estudo acerca do glaucoma, seus tipos e multifatores se torna de suma importância para a saúde pública a nível global.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w:t>
      </w:r>
      <w:r w:rsidDel="00000000" w:rsidR="00000000" w:rsidRPr="00000000">
        <w:rPr>
          <w:i w:val="0"/>
          <w:smallCaps w:val="0"/>
          <w:strike w:val="0"/>
          <w:color w:val="000000"/>
          <w:sz w:val="24"/>
          <w:szCs w:val="24"/>
          <w:u w:val="none"/>
          <w:shd w:fill="auto" w:val="clear"/>
          <w:vertAlign w:val="baseline"/>
          <w:rtl w:val="0"/>
        </w:rPr>
        <w:t xml:space="preserve">Apontar os principais fatores de risco para </w:t>
      </w:r>
      <w:r w:rsidDel="00000000" w:rsidR="00000000" w:rsidRPr="00000000">
        <w:rPr>
          <w:sz w:val="24"/>
          <w:szCs w:val="24"/>
          <w:rtl w:val="0"/>
        </w:rPr>
        <w:t xml:space="preserve">o glaucoma primário de ângulo aberto.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MATERIAIS E MÉTODOS: </w:t>
      </w:r>
      <w:r w:rsidDel="00000000" w:rsidR="00000000" w:rsidRPr="00000000">
        <w:rPr>
          <w:i w:val="0"/>
          <w:smallCaps w:val="0"/>
          <w:strike w:val="0"/>
          <w:color w:val="000000"/>
          <w:sz w:val="24"/>
          <w:szCs w:val="24"/>
          <w:u w:val="none"/>
          <w:shd w:fill="auto" w:val="clear"/>
          <w:vertAlign w:val="baseline"/>
          <w:rtl w:val="0"/>
        </w:rPr>
        <w:t xml:space="preserve">Trata-se de uma revisão narrativa de literatura, </w:t>
      </w:r>
      <w:r w:rsidDel="00000000" w:rsidR="00000000" w:rsidRPr="00000000">
        <w:rPr>
          <w:sz w:val="24"/>
          <w:szCs w:val="24"/>
          <w:rtl w:val="0"/>
        </w:rPr>
        <w:t xml:space="preserve">utilizando-se de artigos publicados de forma íntegra nos últimos 5 anos nas línguas inglesa, espanhola, alemã e portuguesa no banco de dados United States National Library of Medicine (PubMed). Para seleção dos estudos elegíveis, foram utilizados os unitermos “glaucoma” AND “risk factors” presentes nos títulos dos artigos. Após a seleção dos estudos, 15 dos 115 resultados encontrados foram explorados neste trabalho, além de um livro referência da oftalmologia brasileira.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DISCUSSÃO: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o estudo de revis</w:t>
      </w:r>
      <w:r w:rsidDel="00000000" w:rsidR="00000000" w:rsidRPr="00000000">
        <w:rPr>
          <w:sz w:val="24"/>
          <w:szCs w:val="24"/>
          <w:rtl w:val="0"/>
        </w:rPr>
        <w:t xml:space="preserve">ão, verificou-se a alta influência de cinco fatores relatados em diversos estudos. No entanto, a pressão intraocular elevada é o único fator modificável, guiando o tratamento e controle da doença. Percebe-se também a maior prevalência de glaucoma em pacientes acima de 50 anos de idade. Também se nota que indivíduos com histórico familiar podem apresentar um risco relativo maior de desenvolver a doença. A maior prevalência em pacientes negros faz com que a raça também seja um fator a se considerar. Por último, viu-se que a espessura corneana fina é um fator de risco extremamente importante. O exame de paquimetria pode ajudar nesses casos, já que esses indivíduos podem progredir a doença mesmo em níveis normais de pressão intraocular.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r w:rsidDel="00000000" w:rsidR="00000000" w:rsidRPr="00000000">
        <w:rPr>
          <w:sz w:val="24"/>
          <w:szCs w:val="24"/>
          <w:rtl w:val="0"/>
        </w:rPr>
        <w:t xml:space="preserve">: Os principais fatores de risco relacionados ao glaucoma primário de ângulo aberto são: pressão intraocular elevada, idade avançada, histórico familiar, raça negra e espessura central corneana fina. </w:t>
      </w:r>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Glaucoma de ângulo aberto; Fatores de risco; Neuropatia óptica.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REFERÊNCIAS BIBLIOGRÁFICAS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ALVES, M.R. </w:t>
      </w:r>
      <w:r w:rsidDel="00000000" w:rsidR="00000000" w:rsidRPr="00000000">
        <w:rPr>
          <w:b w:val="1"/>
          <w:sz w:val="24"/>
          <w:szCs w:val="24"/>
          <w:rtl w:val="0"/>
        </w:rPr>
        <w:t xml:space="preserve">Glaucoma 3ª Edição - Série do Conselho Brasileiro de Oftalmologia. </w:t>
      </w:r>
      <w:r w:rsidDel="00000000" w:rsidR="00000000" w:rsidRPr="00000000">
        <w:rPr>
          <w:sz w:val="24"/>
          <w:szCs w:val="24"/>
          <w:rtl w:val="0"/>
        </w:rPr>
        <w:t xml:space="preserve">Rio de Janeiro, Cultura Médica: Guanabara Koogan, 2013.</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SCHUSTER, A. K. et al. Risikofaktoren für das Offenwinkelglaukom und Empfehlungen zur Glaukomfrüherkennung. </w:t>
      </w:r>
      <w:r w:rsidDel="00000000" w:rsidR="00000000" w:rsidRPr="00000000">
        <w:rPr>
          <w:b w:val="1"/>
          <w:sz w:val="24"/>
          <w:szCs w:val="24"/>
          <w:rtl w:val="0"/>
        </w:rPr>
        <w:t xml:space="preserve">Der Ophthalmologe : Zeitschrift der Deutschen Ophthalmologischen Gesellschaft.</w:t>
      </w:r>
      <w:r w:rsidDel="00000000" w:rsidR="00000000" w:rsidRPr="00000000">
        <w:rPr>
          <w:sz w:val="24"/>
          <w:szCs w:val="24"/>
          <w:rtl w:val="0"/>
        </w:rPr>
        <w:t xml:space="preserve"> V. 118, n. 2, on-line, p. 145-152, 21 abr. 2021. Disponível em: &lt;doi:10.1007/s00347-021-01378-5&gt;. Acesso em: 12 ago. 2022.</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SHREE, N. et al. Incidence and risk factors for post-penetrating keratoplasty glaucoma. </w:t>
      </w:r>
      <w:r w:rsidDel="00000000" w:rsidR="00000000" w:rsidRPr="00000000">
        <w:rPr>
          <w:b w:val="1"/>
          <w:sz w:val="24"/>
          <w:szCs w:val="24"/>
          <w:rtl w:val="0"/>
        </w:rPr>
        <w:t xml:space="preserve">Indian journal of ophthalmology.</w:t>
      </w:r>
      <w:r w:rsidDel="00000000" w:rsidR="00000000" w:rsidRPr="00000000">
        <w:rPr>
          <w:sz w:val="24"/>
          <w:szCs w:val="24"/>
          <w:rtl w:val="0"/>
        </w:rPr>
        <w:t xml:space="preserve"> V. 70, n. 4, p. 1239-1245, on-line, abr. 2022. Disponível em: &lt;doi:10.4103/ijo.IJO_1470_21&gt;. Acesso em: 12 ago. 2022.</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TORABI, R. et al. Prevalence Rates and Risk Factors for Primary Open Angle Glaucoma in the Middle East. </w:t>
      </w:r>
      <w:r w:rsidDel="00000000" w:rsidR="00000000" w:rsidRPr="00000000">
        <w:rPr>
          <w:b w:val="1"/>
          <w:sz w:val="24"/>
          <w:szCs w:val="24"/>
          <w:rtl w:val="0"/>
        </w:rPr>
        <w:t xml:space="preserve">Journal of ophthalmic &amp; vision research.</w:t>
      </w:r>
      <w:r w:rsidDel="00000000" w:rsidR="00000000" w:rsidRPr="00000000">
        <w:rPr>
          <w:sz w:val="24"/>
          <w:szCs w:val="24"/>
          <w:rtl w:val="0"/>
        </w:rPr>
        <w:t xml:space="preserve"> V</w:t>
      </w:r>
      <w:r w:rsidDel="00000000" w:rsidR="00000000" w:rsidRPr="00000000">
        <w:rPr>
          <w:sz w:val="24"/>
          <w:szCs w:val="24"/>
          <w:rtl w:val="0"/>
        </w:rPr>
        <w:t xml:space="preserve">. 16, n. 4, p. 644-656, on-line, 25 out. 2021. Disponível em: &lt;doi:10.18502/jovr.v16i4.9755&gt;. Acesso em: 12 ago. 2022.</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6840" w:w="1192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2" w:lineRule="auto"/>
      <w:ind w:left="696"/>
    </w:pPr>
    <w:rPr>
      <w:b w:val="1"/>
      <w:sz w:val="32"/>
      <w:szCs w:val="32"/>
      <w:u w:val="single"/>
    </w:rPr>
  </w:style>
  <w:style w:type="paragraph" w:styleId="Heading2">
    <w:name w:val="heading 2"/>
    <w:basedOn w:val="Normal"/>
    <w:next w:val="Normal"/>
    <w:pPr>
      <w:ind w:left="800"/>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pt-PT"/>
    </w:rPr>
  </w:style>
  <w:style w:type="paragraph" w:styleId="Ttulo1">
    <w:name w:val="heading 1"/>
    <w:basedOn w:val="Normal"/>
    <w:uiPriority w:val="9"/>
    <w:qFormat w:val="1"/>
    <w:pPr>
      <w:spacing w:before="102"/>
      <w:ind w:left="696"/>
      <w:outlineLvl w:val="0"/>
    </w:pPr>
    <w:rPr>
      <w:b w:val="1"/>
      <w:bCs w:val="1"/>
      <w:sz w:val="32"/>
      <w:szCs w:val="32"/>
      <w:u w:color="000000" w:val="single"/>
    </w:rPr>
  </w:style>
  <w:style w:type="paragraph" w:styleId="Ttulo2">
    <w:name w:val="heading 2"/>
    <w:basedOn w:val="Normal"/>
    <w:uiPriority w:val="9"/>
    <w:unhideWhenUsed w:val="1"/>
    <w:qFormat w:val="1"/>
    <w:pPr>
      <w:ind w:left="800"/>
      <w:outlineLvl w:val="1"/>
    </w:pPr>
    <w:rPr>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ind w:left="800" w:hanging="361"/>
    </w:pPr>
  </w:style>
  <w:style w:type="paragraph" w:styleId="TableParagraph" w:customStyle="1">
    <w:name w:val="Table Paragraph"/>
    <w:basedOn w:val="Normal"/>
    <w:uiPriority w:val="1"/>
    <w:qFormat w:val="1"/>
  </w:style>
  <w:style w:type="table" w:styleId="TabeladeGrade4-nfase3">
    <w:name w:val="Grid Table 4 Accent 3"/>
    <w:basedOn w:val="Tabelanormal"/>
    <w:uiPriority w:val="49"/>
    <w:rsid w:val="00CE5ABE"/>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Grade4-nfase4">
    <w:name w:val="Grid Table 4 Accent 4"/>
    <w:basedOn w:val="Tabelanormal"/>
    <w:uiPriority w:val="49"/>
    <w:rsid w:val="00CE5ABE"/>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character" w:styleId="Hyperlink">
    <w:name w:val="Hyperlink"/>
    <w:basedOn w:val="Fontepargpadro"/>
    <w:uiPriority w:val="99"/>
    <w:unhideWhenUsed w:val="1"/>
    <w:rsid w:val="005E2805"/>
    <w:rPr>
      <w:color w:val="0000ff" w:themeColor="hyperlink"/>
      <w:u w:val="single"/>
    </w:rPr>
  </w:style>
  <w:style w:type="character" w:styleId="MenoPendente">
    <w:name w:val="Unresolved Mention"/>
    <w:basedOn w:val="Fontepargpadro"/>
    <w:uiPriority w:val="99"/>
    <w:semiHidden w:val="1"/>
    <w:unhideWhenUsed w:val="1"/>
    <w:rsid w:val="005E2805"/>
    <w:rPr>
      <w:color w:val="605e5c"/>
      <w:shd w:color="auto" w:fill="e1dfdd" w:val="clear"/>
    </w:rPr>
  </w:style>
  <w:style w:type="paragraph" w:styleId="CabealhodoSumrio">
    <w:name w:val="TOC Heading"/>
    <w:basedOn w:val="Ttulo1"/>
    <w:next w:val="Normal"/>
    <w:uiPriority w:val="39"/>
    <w:unhideWhenUsed w:val="1"/>
    <w:qFormat w:val="1"/>
    <w:rsid w:val="008D77B3"/>
    <w:pPr>
      <w:keepNext w:val="1"/>
      <w:keepLines w:val="1"/>
      <w:widowControl w:val="1"/>
      <w:autoSpaceDE w:val="1"/>
      <w:autoSpaceDN w:val="1"/>
      <w:spacing w:before="240" w:line="259" w:lineRule="auto"/>
      <w:ind w:left="0"/>
      <w:outlineLvl w:val="9"/>
    </w:pPr>
    <w:rPr>
      <w:rFonts w:asciiTheme="majorHAnsi" w:cstheme="majorBidi" w:eastAsiaTheme="majorEastAsia" w:hAnsiTheme="majorHAnsi"/>
      <w:b w:val="0"/>
      <w:bCs w:val="0"/>
      <w:color w:val="365f91" w:themeColor="accent1" w:themeShade="0000BF"/>
      <w:u w:val="none"/>
      <w:lang w:eastAsia="pt-BR" w:val="pt-BR"/>
    </w:rPr>
  </w:style>
  <w:style w:type="paragraph" w:styleId="Sumrio1">
    <w:name w:val="toc 1"/>
    <w:basedOn w:val="Normal"/>
    <w:next w:val="Normal"/>
    <w:autoRedefine w:val="1"/>
    <w:uiPriority w:val="39"/>
    <w:unhideWhenUsed w:val="1"/>
    <w:rsid w:val="008D77B3"/>
    <w:pPr>
      <w:spacing w:after="100"/>
    </w:pPr>
  </w:style>
  <w:style w:type="paragraph" w:styleId="Sumrio2">
    <w:name w:val="toc 2"/>
    <w:basedOn w:val="Normal"/>
    <w:next w:val="Normal"/>
    <w:autoRedefine w:val="1"/>
    <w:uiPriority w:val="39"/>
    <w:unhideWhenUsed w:val="1"/>
    <w:rsid w:val="008D77B3"/>
    <w:pPr>
      <w:spacing w:after="100"/>
      <w:ind w:left="220"/>
    </w:pPr>
  </w:style>
  <w:style w:type="paragraph" w:styleId="Cabealho">
    <w:name w:val="header"/>
    <w:basedOn w:val="Normal"/>
    <w:link w:val="CabealhoChar"/>
    <w:uiPriority w:val="99"/>
    <w:unhideWhenUsed w:val="1"/>
    <w:rsid w:val="006C1C32"/>
    <w:pPr>
      <w:tabs>
        <w:tab w:val="center" w:pos="4252"/>
        <w:tab w:val="right" w:pos="8504"/>
      </w:tabs>
    </w:pPr>
  </w:style>
  <w:style w:type="character" w:styleId="CabealhoChar" w:customStyle="1">
    <w:name w:val="Cabeçalho Char"/>
    <w:basedOn w:val="Fontepargpadro"/>
    <w:link w:val="Cabealho"/>
    <w:uiPriority w:val="99"/>
    <w:rsid w:val="006C1C32"/>
    <w:rPr>
      <w:rFonts w:ascii="Times New Roman" w:cs="Times New Roman" w:eastAsia="Times New Roman" w:hAnsi="Times New Roman"/>
      <w:lang w:val="pt-PT"/>
    </w:rPr>
  </w:style>
  <w:style w:type="paragraph" w:styleId="Rodap">
    <w:name w:val="footer"/>
    <w:basedOn w:val="Normal"/>
    <w:link w:val="RodapChar"/>
    <w:uiPriority w:val="99"/>
    <w:unhideWhenUsed w:val="1"/>
    <w:rsid w:val="006C1C32"/>
    <w:pPr>
      <w:tabs>
        <w:tab w:val="center" w:pos="4252"/>
        <w:tab w:val="right" w:pos="8504"/>
      </w:tabs>
    </w:pPr>
  </w:style>
  <w:style w:type="character" w:styleId="RodapChar" w:customStyle="1">
    <w:name w:val="Rodapé Char"/>
    <w:basedOn w:val="Fontepargpadro"/>
    <w:link w:val="Rodap"/>
    <w:uiPriority w:val="99"/>
    <w:rsid w:val="006C1C32"/>
    <w:rPr>
      <w:rFonts w:ascii="Times New Roman" w:cs="Times New Roman" w:eastAsia="Times New Roman" w:hAnsi="Times New Roman"/>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ifissonribeiro@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mvNzkiGqXf4GqZLTVJ2XCtvFA==">AMUW2mUzhJ3D0hZWe4+qwVX/n0yOASkwEIN5fja/yr5xEH3PjPfI63xI0MFXFr/iZmW1XSP83lOliWrNV9hhbJB54D5ucT2+hNcsvcunO2wISMsYIGD9aKw=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2022-06-17T02:24:00Z</dcterms:created>
  <dc:creator>Ana Bilio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