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bottom w:color="000000" w:space="1" w:sz="4" w:val="single"/>
        </w:pBdr>
        <w:jc w:val="center"/>
        <w:rPr>
          <w:rFonts w:ascii="Arial" w:cs="Arial" w:eastAsia="Arial" w:hAnsi="Arial"/>
          <w:b w:val="1"/>
          <w:smallCaps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22"/>
          <w:szCs w:val="22"/>
          <w:rtl w:val="0"/>
        </w:rPr>
        <w:t xml:space="preserve">MELHORAMENTO GENÉTICO DO </w:t>
      </w: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rtl w:val="0"/>
        </w:rPr>
        <w:t xml:space="preserve">Zea mays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E </w:t>
      </w: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rtl w:val="0"/>
        </w:rPr>
        <w:t xml:space="preserve">Sorghum bicolor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: REVISÃO</w:t>
      </w:r>
      <w:r w:rsidDel="00000000" w:rsidR="00000000" w:rsidRPr="00000000">
        <w:rPr>
          <w:rFonts w:ascii="Arial" w:cs="Arial" w:eastAsia="Arial" w:hAnsi="Arial"/>
          <w:b w:val="1"/>
          <w:smallCaps w:val="1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Celso Vitor Amaral Gontijo</w:t>
      </w:r>
      <w:r w:rsidDel="00000000" w:rsidR="00000000" w:rsidRPr="00000000">
        <w:rPr>
          <w:rFonts w:ascii="Arial" w:cs="Arial" w:eastAsia="Arial" w:hAnsi="Arial"/>
          <w:b w:val="1"/>
          <w:color w:val="000000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*,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Guilherme Guerra Alves</w:t>
      </w:r>
      <w:r w:rsidDel="00000000" w:rsidR="00000000" w:rsidRPr="00000000">
        <w:rPr>
          <w:rFonts w:ascii="Arial" w:cs="Arial" w:eastAsia="Arial" w:hAnsi="Arial"/>
          <w:b w:val="1"/>
          <w:color w:val="000000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.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Arial" w:cs="Arial" w:eastAsia="Arial" w:hAnsi="Arial"/>
          <w:i w:val="1"/>
          <w:color w:val="000000"/>
          <w:sz w:val="14"/>
          <w:szCs w:val="14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14"/>
          <w:szCs w:val="14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14"/>
          <w:szCs w:val="14"/>
          <w:rtl w:val="0"/>
        </w:rPr>
        <w:t xml:space="preserve">Graduando em </w:t>
      </w:r>
      <w:r w:rsidDel="00000000" w:rsidR="00000000" w:rsidRPr="00000000">
        <w:rPr>
          <w:rFonts w:ascii="Arial" w:cs="Arial" w:eastAsia="Arial" w:hAnsi="Arial"/>
          <w:i w:val="1"/>
          <w:sz w:val="14"/>
          <w:szCs w:val="14"/>
          <w:rtl w:val="0"/>
        </w:rPr>
        <w:t xml:space="preserve">Agronomia 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14"/>
          <w:szCs w:val="14"/>
          <w:rtl w:val="0"/>
        </w:rPr>
        <w:t xml:space="preserve">– </w:t>
      </w:r>
      <w:r w:rsidDel="00000000" w:rsidR="00000000" w:rsidRPr="00000000">
        <w:rPr>
          <w:rFonts w:ascii="Arial" w:cs="Arial" w:eastAsia="Arial" w:hAnsi="Arial"/>
          <w:i w:val="1"/>
          <w:sz w:val="14"/>
          <w:szCs w:val="14"/>
          <w:rtl w:val="0"/>
        </w:rPr>
        <w:t xml:space="preserve">Centro Universitário UNA- 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14"/>
          <w:szCs w:val="14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i w:val="1"/>
          <w:sz w:val="14"/>
          <w:szCs w:val="14"/>
          <w:rtl w:val="0"/>
        </w:rPr>
        <w:t xml:space="preserve">NA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14"/>
          <w:szCs w:val="14"/>
          <w:rtl w:val="0"/>
        </w:rPr>
        <w:t xml:space="preserve"> – B</w:t>
      </w:r>
      <w:r w:rsidDel="00000000" w:rsidR="00000000" w:rsidRPr="00000000">
        <w:rPr>
          <w:rFonts w:ascii="Arial" w:cs="Arial" w:eastAsia="Arial" w:hAnsi="Arial"/>
          <w:i w:val="1"/>
          <w:sz w:val="14"/>
          <w:szCs w:val="14"/>
          <w:rtl w:val="0"/>
        </w:rPr>
        <w:t xml:space="preserve">om Despacho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14"/>
          <w:szCs w:val="14"/>
          <w:rtl w:val="0"/>
        </w:rPr>
        <w:t xml:space="preserve">/MG – Brasil – *</w:t>
      </w:r>
      <w:r w:rsidDel="00000000" w:rsidR="00000000" w:rsidRPr="00000000">
        <w:rPr>
          <w:rFonts w:ascii="Arial" w:cs="Arial" w:eastAsia="Arial" w:hAnsi="Arial"/>
          <w:i w:val="1"/>
          <w:sz w:val="14"/>
          <w:szCs w:val="14"/>
          <w:rtl w:val="0"/>
        </w:rPr>
        <w:t xml:space="preserve">celsogontijoagro@hotmail.com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Arial" w:cs="Arial" w:eastAsia="Arial" w:hAnsi="Arial"/>
          <w:i w:val="1"/>
          <w:color w:val="000000"/>
          <w:sz w:val="14"/>
          <w:szCs w:val="14"/>
        </w:rPr>
        <w:sectPr>
          <w:headerReference r:id="rId7" w:type="default"/>
          <w:pgSz w:h="16838" w:w="11906" w:orient="portrait"/>
          <w:pgMar w:bottom="720" w:top="1560" w:left="426" w:right="424" w:header="426" w:footer="708"/>
          <w:pgNumType w:start="1"/>
        </w:sect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14"/>
          <w:szCs w:val="14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14"/>
          <w:szCs w:val="14"/>
          <w:rtl w:val="0"/>
        </w:rPr>
        <w:t xml:space="preserve">Professor de </w:t>
      </w:r>
      <w:r w:rsidDel="00000000" w:rsidR="00000000" w:rsidRPr="00000000">
        <w:rPr>
          <w:rFonts w:ascii="Arial" w:cs="Arial" w:eastAsia="Arial" w:hAnsi="Arial"/>
          <w:i w:val="1"/>
          <w:sz w:val="14"/>
          <w:szCs w:val="14"/>
          <w:rtl w:val="0"/>
        </w:rPr>
        <w:t xml:space="preserve">Agronomia – Centro Universitário UNA – Bom Despacho/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14"/>
          <w:szCs w:val="14"/>
          <w:rtl w:val="0"/>
        </w:rPr>
        <w:t xml:space="preserve">/MG – Brasil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40" w:lineRule="auto"/>
        <w:jc w:val="both"/>
        <w:rPr>
          <w:rFonts w:ascii="Arial" w:cs="Arial" w:eastAsia="Arial" w:hAnsi="Arial"/>
          <w:b w:val="1"/>
          <w:color w:val="000000"/>
          <w:sz w:val="18"/>
          <w:szCs w:val="18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INTRODUÇÃO</w:t>
      </w:r>
    </w:p>
    <w:p w:rsidR="00000000" w:rsidDel="00000000" w:rsidP="00000000" w:rsidRDefault="00000000" w:rsidRPr="00000000" w14:paraId="00000006">
      <w:pPr>
        <w:spacing w:after="40" w:before="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Zea mays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e o </w:t>
      </w: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Sorghum bicolor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se destacam na agricultura, por desempenharem um relevante papel na pecuária atuando diretamente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na alimentação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bovinos,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aves e suínos. Essas são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utilizadas de dissemelhantes formas como pastejo, corte verde e silagem, sendo notáveis por suas características de adaptação, produtividade e digestibilidade ².</w:t>
      </w:r>
    </w:p>
    <w:p w:rsidR="00000000" w:rsidDel="00000000" w:rsidP="00000000" w:rsidRDefault="00000000" w:rsidRPr="00000000" w14:paraId="00000007">
      <w:pPr>
        <w:spacing w:after="40" w:before="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O milho possui propriedades interessantes, suas raízes possuem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adereços que favorecem a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absorção dos sais minerais, o endosperma do grão é uma relevante fonte de proteínas e carboidratos. No entanto, a estação de crescimento e a floração do milho podem alterar de acordo com as condições climáticas ⁷.</w:t>
      </w:r>
    </w:p>
    <w:p w:rsidR="00000000" w:rsidDel="00000000" w:rsidP="00000000" w:rsidRDefault="00000000" w:rsidRPr="00000000" w14:paraId="00000008">
      <w:pPr>
        <w:spacing w:after="40" w:before="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O sorgo é um alimento potencialmente resistente à desidratação devido ao seu sistema radicular fibroso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e por possuir propriedades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de plantas xerófitas que permitem reduzir a perda de água para o meio ambiente. No Brasil, o sorgo tem demonstrado boa adaptabilidade tanto na região sul, centro e no semiárido, indicando seu alto potencial de produção em diferentes regiões do país. Com a necessidade de variedades com maior potencial de produção e o avanço no melhoramento genético, diversas variedades dessas plantas estão sendo propagadas no mercado⁹.</w:t>
      </w:r>
    </w:p>
    <w:p w:rsidR="00000000" w:rsidDel="00000000" w:rsidP="00000000" w:rsidRDefault="00000000" w:rsidRPr="00000000" w14:paraId="00000009">
      <w:pPr>
        <w:spacing w:after="40" w:before="40" w:lineRule="auto"/>
        <w:jc w:val="both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Desta forma este trabalho tem como objetivo realizar uma revisão bibliográfica do aprimoramento genético do milho e do sorgo.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40" w:lineRule="auto"/>
        <w:jc w:val="both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4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MATERIAL E MÉTODOS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96" w:lineRule="auto"/>
        <w:jc w:val="both"/>
        <w:rPr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Para a realização da revisão literária as buscas realizadas tiveram como fonte artigos indexados nas plataformas de busca: Scielo, </w:t>
      </w:r>
      <w:r w:rsidDel="00000000" w:rsidR="00000000" w:rsidRPr="00000000">
        <w:rPr>
          <w:rFonts w:ascii="Arial" w:cs="Arial" w:eastAsia="Arial" w:hAnsi="Arial"/>
          <w:sz w:val="18"/>
          <w:szCs w:val="18"/>
          <w:highlight w:val="white"/>
          <w:rtl w:val="0"/>
        </w:rPr>
        <w:t xml:space="preserve">Google Scholar e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Agência Embrapa de Informação Tecnológica.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40" w:lineRule="auto"/>
        <w:jc w:val="both"/>
        <w:rPr>
          <w:rFonts w:ascii="Arial" w:cs="Arial" w:eastAsia="Arial" w:hAnsi="Arial"/>
          <w:b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40" w:lineRule="auto"/>
        <w:jc w:val="both"/>
        <w:rPr>
          <w:rFonts w:ascii="Arial" w:cs="Arial" w:eastAsia="Arial" w:hAnsi="Arial"/>
          <w:b w:val="1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RE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VISÃO DE LITERATURA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O constante avanço no melhoramento genético do milho tem levado ao desenvolvimento e comercialização de variedades com maior potencial produtivo, com ciclos diferenciados, arquitetura mais ereta e de pequeno porte. Essas apresentam maior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resistência à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quebra das plantas, propiciando a sucessão com outras culturas e a mecanização, mantendo-se expostas às condições adversas do campo por curtos períodos. Todas essas propriedades viabilizam a obtenção de melhores lucros ¹.</w:t>
      </w:r>
    </w:p>
    <w:p w:rsidR="00000000" w:rsidDel="00000000" w:rsidP="00000000" w:rsidRDefault="00000000" w:rsidRPr="00000000" w14:paraId="00000010">
      <w:pPr>
        <w:spacing w:after="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Para a primeira etapa na produção de uma cultura, realiza-se a escolha das sementes. A produção decorre do manejo, potencial genético das sementes e condições edafoclimáticas da área de plantio. Em geral, a variedade é responsável por 50% do rendimento final. Entretanto, a correta seleção das sementes pode ser o motivo do sucesso ou do fracasso da colheita. Nota-se a elevação da produtividade do milho no Brasil desde meados do século de XX, sendo empregadas técnicas análogas às utilizadas nos Estados Unidos, com sementes melhoradas geneticamente, utilização de fertilizantes e agrotóxicos, alta densidade de semeadura, uso de tratores e equipamentos agrícolas eficientes, bem como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pelo sistemas de plantio direto na palha³.</w:t>
      </w:r>
    </w:p>
    <w:p w:rsidR="00000000" w:rsidDel="00000000" w:rsidP="00000000" w:rsidRDefault="00000000" w:rsidRPr="00000000" w14:paraId="00000011">
      <w:pPr>
        <w:spacing w:after="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Por meio de um conjunto de variedades melhoradas, como de recursos operacionais e técnicas de cultivo apropriados, os rendimentos da colheita aumentaram gradualmente. A seleção com base no tamanho da planta, devido à preferência por plantas com baixa arquitetura, área da 1ª espiga, alta densidade de grãos e alto teor de matéria seca no colmo, produzindo plantas mais eficientes, com alto rendimento, baixo percentual de tombamento e fácil mecanização para colheita ³.</w:t>
      </w:r>
    </w:p>
    <w:p w:rsidR="00000000" w:rsidDel="00000000" w:rsidP="00000000" w:rsidRDefault="00000000" w:rsidRPr="00000000" w14:paraId="00000012">
      <w:pPr>
        <w:spacing w:after="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Originário do noroeste da África, o sorgo cultivado nesta região apresenta uma grande variedade na características da vida selvagem, já que a domesticação dessa pode ter iniciado na Etiópia, por meio da seleção de espécies selvagens </w:t>
      </w: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(Sorghum arundinaceum)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(Sorghum verticilliflorum)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por aproximadamente 7.000 anos ⁶.</w:t>
      </w:r>
    </w:p>
    <w:p w:rsidR="00000000" w:rsidDel="00000000" w:rsidP="00000000" w:rsidRDefault="00000000" w:rsidRPr="00000000" w14:paraId="00000013">
      <w:pPr>
        <w:spacing w:after="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 coleção global de sorgo inclui cerca de 30.000 entradas e existem milhares de outras variedades em programas de melhoramento em todo o mundo. É basicamente uma espécie auto fecundante com pouca mistura ¹⁰.</w:t>
      </w:r>
    </w:p>
    <w:p w:rsidR="00000000" w:rsidDel="00000000" w:rsidP="00000000" w:rsidRDefault="00000000" w:rsidRPr="00000000" w14:paraId="00000014">
      <w:pPr>
        <w:spacing w:after="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O sorgo forrageiro surge com inúmeros avanços no melhoramento genético, por ser uma cultura de fácil manejo, alta produtividade e produção de biomassa, produto de excelente qualidade nutricional e baixo custo para a produção animal ⁵.</w:t>
      </w:r>
    </w:p>
    <w:p w:rsidR="00000000" w:rsidDel="00000000" w:rsidP="00000000" w:rsidRDefault="00000000" w:rsidRPr="00000000" w14:paraId="00000015">
      <w:pPr>
        <w:spacing w:after="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 Embrapa Milho e Sorgo desenvolve pesquisas com o objetivo de utilizar, adaptar e promover variedades, principalmente cereais e rações açucaradas de sorgo forrageiro, com alto rendimento e tolerância às condições de estresse climático. Estudos têm possibilitado adquirir variedades de maior valor agregado e colocá-las no mercado, o que possibilita aumentar o desempenho da cultura em condições naturais nas mais variadas regiões de cultivo ⁵.</w:t>
      </w:r>
    </w:p>
    <w:p w:rsidR="00000000" w:rsidDel="00000000" w:rsidP="00000000" w:rsidRDefault="00000000" w:rsidRPr="00000000" w14:paraId="00000016">
      <w:pPr>
        <w:spacing w:after="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O milho e o sorgo são espécies forrageiras que apresentam utilização abrangente para silagens por suas características de composição, proporcionando fermentação adequada agregando valor nutritivo neste tipo de alimentação ⁹.</w:t>
      </w:r>
    </w:p>
    <w:p w:rsidR="00000000" w:rsidDel="00000000" w:rsidP="00000000" w:rsidRDefault="00000000" w:rsidRPr="00000000" w14:paraId="00000017">
      <w:pPr>
        <w:spacing w:after="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40" w:lineRule="auto"/>
        <w:jc w:val="both"/>
        <w:rPr>
          <w:rFonts w:ascii="Arial" w:cs="Arial" w:eastAsia="Arial" w:hAnsi="Arial"/>
          <w:b w:val="1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CONSIDERAÇÕES FINAIS</w:t>
      </w:r>
    </w:p>
    <w:p w:rsidR="00000000" w:rsidDel="00000000" w:rsidP="00000000" w:rsidRDefault="00000000" w:rsidRPr="00000000" w14:paraId="00000019">
      <w:pPr>
        <w:spacing w:after="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O milho e o sorgo são gramíneas que por sua importância nutricional e fisiológica na produção animal, contribuem diretamente para a cadeia produtiva e para a agroindústria. As propriedades botânicas, morfológicas e fenológicas permitem que essas culturas sejam altamente produtivas e adaptáveis ​​em diferentes regiões do Brasil. A adaptabilidade do milho e do sorgo a várias condições edafoclimáticas depende do potencial genético das sementes e do sistema de plantio utilizado, bem como da competência do genótipo utilizado para suportar, até certo ponto, altas densidades populacionais.</w:t>
      </w:r>
    </w:p>
    <w:p w:rsidR="00000000" w:rsidDel="00000000" w:rsidP="00000000" w:rsidRDefault="00000000" w:rsidRPr="00000000" w14:paraId="0000001A">
      <w:pPr>
        <w:spacing w:after="40" w:lineRule="auto"/>
        <w:jc w:val="center"/>
        <w:rPr>
          <w:rFonts w:ascii="Arial" w:cs="Arial" w:eastAsia="Arial" w:hAnsi="Arial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720" w:top="720" w:left="426" w:right="424" w:header="708" w:footer="708"/>
      <w:cols w:equalWidth="0" w:num="2">
        <w:col w:space="402" w:w="5326.999999999999"/>
        <w:col w:space="0" w:w="5326.999999999999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jc w:val="center"/>
      <w:rPr>
        <w:rFonts w:ascii="Arial" w:cs="Arial" w:eastAsia="Arial" w:hAnsi="Arial"/>
        <w:b w:val="1"/>
        <w:color w:val="002060"/>
        <w:sz w:val="28"/>
        <w:szCs w:val="28"/>
      </w:rPr>
    </w:pPr>
    <w:r w:rsidDel="00000000" w:rsidR="00000000" w:rsidRPr="00000000">
      <w:rPr>
        <w:rFonts w:ascii="Arial" w:cs="Arial" w:eastAsia="Arial" w:hAnsi="Arial"/>
        <w:b w:val="1"/>
        <w:color w:val="002060"/>
        <w:sz w:val="28"/>
        <w:szCs w:val="28"/>
        <w:rtl w:val="0"/>
      </w:rPr>
      <w:t xml:space="preserve">VIII Colóquio Técnico Científico de Saúde Única, 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6258560</wp:posOffset>
          </wp:positionH>
          <wp:positionV relativeFrom="paragraph">
            <wp:posOffset>-133346</wp:posOffset>
          </wp:positionV>
          <wp:extent cx="762000" cy="724535"/>
          <wp:effectExtent b="0" l="0" r="0" t="0"/>
          <wp:wrapNone/>
          <wp:docPr descr="C:\Users\Luiza\AppData\Local\Microsoft\Windows\INetCache\Content.Word\coloquio-logo.png" id="10" name="image1.png"/>
          <a:graphic>
            <a:graphicData uri="http://schemas.openxmlformats.org/drawingml/2006/picture">
              <pic:pic>
                <pic:nvPicPr>
                  <pic:cNvPr descr="C:\Users\Luiza\AppData\Local\Microsoft\Windows\INetCache\Content.Word\coloquio-logo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2000" cy="72453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5670"/>
        <w:tab w:val="right" w:pos="11056"/>
      </w:tabs>
      <w:jc w:val="center"/>
      <w:rPr>
        <w:rFonts w:ascii="Arial" w:cs="Arial" w:eastAsia="Arial" w:hAnsi="Arial"/>
        <w:b w:val="1"/>
        <w:color w:val="002060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color w:val="002060"/>
        <w:sz w:val="28"/>
        <w:szCs w:val="28"/>
        <w:rtl w:val="0"/>
      </w:rPr>
      <w:t xml:space="preserve">Ciências Agrárias e Meio Ambiente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pBdr>
        <w:bottom w:color="000000" w:space="1" w:sz="6" w:val="single"/>
      </w:pBdr>
      <w:jc w:val="both"/>
    </w:pPr>
    <w:rPr>
      <w:rFonts w:ascii="Arial" w:cs="Arial" w:eastAsia="Arial" w:hAnsi="Arial"/>
      <w:b w:val="1"/>
      <w:sz w:val="18"/>
      <w:szCs w:val="18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3D6782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 w:val="1"/>
    <w:unhideWhenUsed w:val="1"/>
    <w:qFormat w:val="1"/>
    <w:rsid w:val="003D6782"/>
    <w:pPr>
      <w:keepNext w:val="1"/>
      <w:pBdr>
        <w:bottom w:color="auto" w:space="1" w:sz="6" w:val="single"/>
      </w:pBdr>
      <w:jc w:val="both"/>
      <w:outlineLvl w:val="2"/>
    </w:pPr>
    <w:rPr>
      <w:rFonts w:ascii="Arial" w:cs="Arial" w:hAnsi="Arial"/>
      <w:b w:val="1"/>
      <w:bCs w:val="1"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 w:val="1"/>
    <w:unhideWhenUsed w:val="1"/>
    <w:qFormat w:val="1"/>
    <w:rsid w:val="003D6782"/>
    <w:pPr>
      <w:keepNext w:val="1"/>
      <w:keepLines w:val="1"/>
      <w:spacing w:before="40"/>
      <w:outlineLvl w:val="3"/>
    </w:pPr>
    <w:rPr>
      <w:rFonts w:asciiTheme="majorHAnsi" w:cstheme="majorBidi" w:eastAsiaTheme="majorEastAsia" w:hAnsiTheme="majorHAnsi"/>
      <w:i w:val="1"/>
      <w:iCs w:val="1"/>
      <w:color w:val="2f5496" w:themeColor="accent1" w:themeShade="0000BF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 w:val="1"/>
    <w:rsid w:val="003D6782"/>
    <w:pPr>
      <w:jc w:val="center"/>
    </w:pPr>
    <w:rPr>
      <w:color w:val="ff000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3D6782"/>
    <w:rPr>
      <w:rFonts w:ascii="Times New Roman" w:cs="Times New Roman" w:eastAsia="Times New Roman" w:hAnsi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 w:val="1"/>
    <w:unhideWhenUsed w:val="1"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3D6782"/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3D6782"/>
    <w:rPr>
      <w:rFonts w:ascii="Segoe UI" w:cs="Segoe UI" w:eastAsia="Times New Roman" w:hAnsi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cs="Arial" w:hAnsi="Arial"/>
      <w:color w:val="000000"/>
      <w:sz w:val="18"/>
      <w:szCs w:val="18"/>
    </w:rPr>
  </w:style>
  <w:style w:type="character" w:styleId="Corpodetexto2Char" w:customStyle="1">
    <w:name w:val="Corpo de texto 2 Char"/>
    <w:basedOn w:val="Fontepargpadro"/>
    <w:link w:val="Corpodetexto2"/>
    <w:uiPriority w:val="99"/>
    <w:rsid w:val="003D6782"/>
    <w:rPr>
      <w:rFonts w:ascii="Arial" w:cs="Arial" w:eastAsia="Times New Roman" w:hAnsi="Arial"/>
      <w:color w:val="000000"/>
      <w:sz w:val="18"/>
      <w:szCs w:val="18"/>
      <w:lang w:eastAsia="pt-BR"/>
    </w:rPr>
  </w:style>
  <w:style w:type="character" w:styleId="Ttulo3Char" w:customStyle="1">
    <w:name w:val="Título 3 Char"/>
    <w:basedOn w:val="Fontepargpadro"/>
    <w:link w:val="Ttulo3"/>
    <w:uiPriority w:val="99"/>
    <w:rsid w:val="003D6782"/>
    <w:rPr>
      <w:rFonts w:ascii="Arial" w:cs="Arial" w:eastAsia="Times New Roman" w:hAnsi="Arial"/>
      <w:b w:val="1"/>
      <w:bCs w:val="1"/>
      <w:sz w:val="18"/>
      <w:szCs w:val="18"/>
      <w:lang w:eastAsia="pt-BR"/>
    </w:rPr>
  </w:style>
  <w:style w:type="character" w:styleId="Ttulo4Char" w:customStyle="1">
    <w:name w:val="Título 4 Char"/>
    <w:basedOn w:val="Fontepargpadro"/>
    <w:link w:val="Ttulo4"/>
    <w:uiPriority w:val="9"/>
    <w:semiHidden w:val="1"/>
    <w:rsid w:val="003D6782"/>
    <w:rPr>
      <w:rFonts w:asciiTheme="majorHAnsi" w:cstheme="majorBidi" w:eastAsiaTheme="majorEastAsia" w:hAnsiTheme="majorHAnsi"/>
      <w:i w:val="1"/>
      <w:iCs w:val="1"/>
      <w:color w:val="2f5496" w:themeColor="accent1" w:themeShade="0000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 w:val="1"/>
    <w:unhideWhenUsed w:val="1"/>
    <w:rsid w:val="003D6782"/>
    <w:pPr>
      <w:spacing w:after="120"/>
      <w:ind w:left="283"/>
    </w:pPr>
  </w:style>
  <w:style w:type="character" w:styleId="RecuodecorpodetextoChar" w:customStyle="1">
    <w:name w:val="Recuo de corpo de texto Char"/>
    <w:basedOn w:val="Fontepargpadro"/>
    <w:link w:val="Recuodecorpodetexto"/>
    <w:uiPriority w:val="99"/>
    <w:semiHidden w:val="1"/>
    <w:rsid w:val="003D6782"/>
    <w:rPr>
      <w:rFonts w:ascii="Times New Roman" w:cs="Times New Roman" w:eastAsia="Times New Roman" w:hAnsi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 w:val="1"/>
    <w:unhideWhenUsed w:val="1"/>
    <w:rsid w:val="00522953"/>
  </w:style>
  <w:style w:type="character" w:styleId="TextodenotaderodapChar" w:customStyle="1">
    <w:name w:val="Texto de nota de rodapé Char"/>
    <w:basedOn w:val="Fontepargpadro"/>
    <w:link w:val="Textodenotaderodap"/>
    <w:uiPriority w:val="99"/>
    <w:semiHidden w:val="1"/>
    <w:rsid w:val="00522953"/>
    <w:rPr>
      <w:rFonts w:ascii="Times New Roman" w:cs="Times New Roman" w:eastAsia="Times New Roman" w:hAnsi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 w:val="1"/>
    <w:unhideWhenUsed w:val="1"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 w:val="1"/>
    <w:rsid w:val="006A7E7C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6A7E7C"/>
    <w:rPr>
      <w:rFonts w:ascii="Times New Roman" w:cs="Times New Roman" w:eastAsia="Times New Roman" w:hAnsi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 w:val="1"/>
    <w:rsid w:val="006A7E7C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6A7E7C"/>
    <w:rPr>
      <w:rFonts w:ascii="Times New Roman" w:cs="Times New Roman" w:eastAsia="Times New Roman" w:hAnsi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2"/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 w:val="1"/>
    <w:unhideWhenUsed w:val="1"/>
    <w:rsid w:val="0005795D"/>
    <w:pPr>
      <w:spacing w:after="100" w:afterAutospacing="1" w:before="100" w:beforeAutospacing="1"/>
    </w:pPr>
    <w:rPr>
      <w:sz w:val="24"/>
      <w:szCs w:val="24"/>
    </w:rPr>
  </w:style>
  <w:style w:type="table" w:styleId="a0" w:customStyle="1">
    <w:basedOn w:val="TableNormal2"/>
    <w:tblPr>
      <w:tblStyleRowBandSize w:val="1"/>
      <w:tblStyleColBandSize w:val="1"/>
    </w:tblPr>
  </w:style>
  <w:style w:type="table" w:styleId="a1" w:customStyle="1">
    <w:basedOn w:val="TableNormal1"/>
    <w:tblPr>
      <w:tblStyleRowBandSize w:val="1"/>
      <w:tblStyleColBandSize w:val="1"/>
    </w:tbl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0F62EC"/>
    <w:pPr>
      <w:jc w:val="left"/>
    </w:pPr>
    <w:rPr>
      <w:b w:val="1"/>
      <w:bCs w:val="1"/>
      <w:color w:val="auto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0F62EC"/>
    <w:rPr>
      <w:rFonts w:ascii="Times New Roman" w:cs="Times New Roman" w:eastAsia="Times New Roman" w:hAnsi="Times New Roman"/>
      <w:b w:val="1"/>
      <w:bCs w:val="1"/>
      <w:color w:val="ff0000"/>
      <w:sz w:val="20"/>
      <w:szCs w:val="20"/>
      <w:lang w:eastAsia="pt-B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63T1oniF+kmN0ZbAjsycC6fu/w==">AMUW2mU3rI68TOWZ/kp2HSrbYRGdgI2ft1V1aN0iTEFmEaMC9cC1bxGbPuvf9bbRBW85bqpAGau7dNbIPk71jvEUbnTErNc+plCb6fwAf59FEtkdzN/zQI2jU7Gue3UluxSzm1dgzJTZ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2021-02-25T21:12:00Z</dcterms:created>
  <dc:creator>Pri Sadanã</dc:creator>
</cp:coreProperties>
</file>