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3F67" w14:textId="77777777" w:rsidR="005F29CD" w:rsidRDefault="005F29CD" w:rsidP="005F29C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lk88551136"/>
      <w:r>
        <w:rPr>
          <w:rFonts w:ascii="Arial" w:eastAsia="Arial" w:hAnsi="Arial" w:cs="Arial"/>
          <w:b/>
          <w:smallCaps/>
          <w:sz w:val="22"/>
          <w:szCs w:val="22"/>
        </w:rPr>
        <w:t>PREVALÊNCIA DAS PRINCIPAIS LESÕES EM BOVINOS ABATIDOS EM FRIGORÍFICO ESTADUAL DO SUL DO ESPÍRITO SANTO</w:t>
      </w:r>
    </w:p>
    <w:bookmarkEnd w:id="0"/>
    <w:p w14:paraId="09C2B647" w14:textId="454DB710" w:rsidR="006F66D0" w:rsidRDefault="005F29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Jessica Nogueira Teixeira</w:t>
      </w:r>
      <w:r w:rsidR="00A5788B">
        <w:rPr>
          <w:rFonts w:ascii="Arial" w:eastAsia="Arial" w:hAnsi="Arial" w:cs="Arial"/>
          <w:b/>
          <w:color w:val="000000"/>
          <w:vertAlign w:val="superscript"/>
        </w:rPr>
        <w:t>1</w:t>
      </w:r>
      <w:r w:rsidR="00A5788B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Leandro José Teixeira Contin</w:t>
      </w:r>
      <w:r w:rsidR="00A5788B">
        <w:rPr>
          <w:rFonts w:ascii="Arial" w:eastAsia="Arial" w:hAnsi="Arial" w:cs="Arial"/>
          <w:b/>
          <w:color w:val="000000"/>
          <w:vertAlign w:val="superscript"/>
        </w:rPr>
        <w:t>2</w:t>
      </w:r>
      <w:r w:rsidR="00642958">
        <w:rPr>
          <w:rFonts w:ascii="Arial" w:eastAsia="Arial" w:hAnsi="Arial" w:cs="Arial"/>
          <w:b/>
          <w:color w:val="000000"/>
        </w:rPr>
        <w:t>,</w:t>
      </w:r>
      <w:r w:rsidR="00A5788B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Marcio Figueiredo Gonçalves</w:t>
      </w:r>
      <w:r w:rsidR="00A5788B">
        <w:rPr>
          <w:rFonts w:ascii="Arial" w:eastAsia="Arial" w:hAnsi="Arial" w:cs="Arial"/>
          <w:b/>
          <w:color w:val="000000"/>
          <w:vertAlign w:val="superscript"/>
        </w:rPr>
        <w:t>3</w:t>
      </w:r>
      <w:r w:rsidR="00642958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642958">
        <w:rPr>
          <w:rFonts w:ascii="Arial" w:eastAsia="Arial" w:hAnsi="Arial" w:cs="Arial"/>
          <w:b/>
          <w:color w:val="000000"/>
        </w:rPr>
        <w:t>e</w:t>
      </w:r>
      <w:r w:rsidRPr="005F29CD">
        <w:rPr>
          <w:rFonts w:ascii="Arial Rounded" w:eastAsia="Arial Rounded" w:hAnsi="Arial Rounded" w:cs="Arial Rounded"/>
          <w:b/>
          <w:bCs/>
          <w:color w:val="000000" w:themeColor="text1"/>
        </w:rPr>
        <w:t xml:space="preserve"> </w:t>
      </w:r>
      <w:proofErr w:type="spellStart"/>
      <w:r w:rsidRPr="37C43CC0">
        <w:rPr>
          <w:rFonts w:ascii="Arial Rounded" w:eastAsia="Arial Rounded" w:hAnsi="Arial Rounded" w:cs="Arial Rounded"/>
          <w:b/>
          <w:bCs/>
          <w:color w:val="000000" w:themeColor="text1"/>
        </w:rPr>
        <w:t>Prhiscylla</w:t>
      </w:r>
      <w:proofErr w:type="spellEnd"/>
      <w:r w:rsidRPr="37C43CC0">
        <w:rPr>
          <w:rFonts w:ascii="Arial Rounded" w:eastAsia="Arial Rounded" w:hAnsi="Arial Rounded" w:cs="Arial Rounded"/>
          <w:b/>
          <w:bCs/>
          <w:color w:val="000000" w:themeColor="text1"/>
        </w:rPr>
        <w:t xml:space="preserve"> </w:t>
      </w:r>
      <w:proofErr w:type="spellStart"/>
      <w:r w:rsidRPr="37C43CC0">
        <w:rPr>
          <w:rFonts w:ascii="Arial Rounded" w:eastAsia="Arial Rounded" w:hAnsi="Arial Rounded" w:cs="Arial Rounded"/>
          <w:b/>
          <w:bCs/>
          <w:color w:val="000000" w:themeColor="text1"/>
        </w:rPr>
        <w:t>Sadanã</w:t>
      </w:r>
      <w:proofErr w:type="spellEnd"/>
      <w:r w:rsidRPr="37C43CC0">
        <w:rPr>
          <w:rFonts w:ascii="Arial Rounded" w:eastAsia="Arial Rounded" w:hAnsi="Arial Rounded" w:cs="Arial Rounded"/>
          <w:b/>
          <w:bCs/>
          <w:color w:val="000000" w:themeColor="text1"/>
        </w:rPr>
        <w:t xml:space="preserve"> Pires</w:t>
      </w:r>
      <w:r>
        <w:rPr>
          <w:rFonts w:ascii="Arial Rounded" w:eastAsia="Arial Rounded" w:hAnsi="Arial Rounded" w:cs="Arial Rounded"/>
          <w:b/>
          <w:bCs/>
          <w:color w:val="000000" w:themeColor="text1"/>
          <w:vertAlign w:val="superscript"/>
        </w:rPr>
        <w:t>4</w:t>
      </w:r>
    </w:p>
    <w:p w14:paraId="0DD77785" w14:textId="4EDB80F2" w:rsidR="006F66D0" w:rsidRPr="009D2A09" w:rsidRDefault="00A5788B" w:rsidP="009D2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563C1" w:themeColor="hyperlink"/>
          <w:sz w:val="14"/>
          <w:szCs w:val="14"/>
          <w:u w:val="single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5F29CD" w:rsidRPr="005F29CD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5F29CD" w:rsidRPr="00EE6BD5">
        <w:rPr>
          <w:rFonts w:ascii="Arial" w:eastAsia="Arial" w:hAnsi="Arial" w:cs="Arial"/>
          <w:i/>
          <w:color w:val="000000"/>
          <w:sz w:val="14"/>
          <w:szCs w:val="14"/>
        </w:rPr>
        <w:t>M</w:t>
      </w:r>
      <w:r w:rsidR="005F29CD">
        <w:rPr>
          <w:rFonts w:ascii="Arial" w:eastAsia="Arial" w:hAnsi="Arial" w:cs="Arial"/>
          <w:i/>
          <w:color w:val="000000"/>
          <w:sz w:val="14"/>
          <w:szCs w:val="14"/>
        </w:rPr>
        <w:t>édica</w:t>
      </w:r>
      <w:r w:rsidR="005F29CD" w:rsidRPr="00EE6BD5"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</w:t>
      </w:r>
      <w:r w:rsidR="005F29CD">
        <w:rPr>
          <w:rFonts w:ascii="Arial" w:eastAsia="Arial" w:hAnsi="Arial" w:cs="Arial"/>
          <w:i/>
          <w:color w:val="000000"/>
          <w:sz w:val="14"/>
          <w:szCs w:val="14"/>
        </w:rPr>
        <w:t xml:space="preserve">. Mestranda na UNESP/FMVZ </w:t>
      </w:r>
      <w:r w:rsidR="005F29CD" w:rsidRPr="00EE6BD5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5F29CD">
        <w:rPr>
          <w:rFonts w:ascii="Arial" w:eastAsia="Arial" w:hAnsi="Arial" w:cs="Arial"/>
          <w:i/>
          <w:color w:val="000000"/>
          <w:sz w:val="14"/>
          <w:szCs w:val="14"/>
        </w:rPr>
        <w:t xml:space="preserve">Atílio </w:t>
      </w:r>
      <w:proofErr w:type="spellStart"/>
      <w:r w:rsidR="005F29CD">
        <w:rPr>
          <w:rFonts w:ascii="Arial" w:eastAsia="Arial" w:hAnsi="Arial" w:cs="Arial"/>
          <w:i/>
          <w:color w:val="000000"/>
          <w:sz w:val="14"/>
          <w:szCs w:val="14"/>
        </w:rPr>
        <w:t>Vivácqua</w:t>
      </w:r>
      <w:proofErr w:type="spellEnd"/>
      <w:r w:rsidR="005F29CD" w:rsidRPr="00EE6BD5">
        <w:rPr>
          <w:rFonts w:ascii="Arial" w:eastAsia="Arial" w:hAnsi="Arial" w:cs="Arial"/>
          <w:i/>
          <w:color w:val="000000"/>
          <w:sz w:val="14"/>
          <w:szCs w:val="14"/>
        </w:rPr>
        <w:t xml:space="preserve"> /ES – Brasil – *Contato: </w:t>
      </w:r>
      <w:r w:rsidR="005F29CD" w:rsidRPr="00BB2A59">
        <w:rPr>
          <w:rFonts w:ascii="Arial" w:eastAsia="Arial" w:hAnsi="Arial" w:cs="Arial"/>
          <w:i/>
          <w:sz w:val="14"/>
          <w:szCs w:val="14"/>
        </w:rPr>
        <w:t>j</w:t>
      </w:r>
      <w:r w:rsidR="005F29CD">
        <w:rPr>
          <w:rFonts w:ascii="Arial" w:eastAsia="Arial" w:hAnsi="Arial" w:cs="Arial"/>
          <w:i/>
          <w:sz w:val="14"/>
          <w:szCs w:val="14"/>
        </w:rPr>
        <w:t>n.teixeira@unesp.br</w:t>
      </w:r>
    </w:p>
    <w:p w14:paraId="4256F9D0" w14:textId="09CFEC45" w:rsidR="009D2A09" w:rsidRDefault="00A5788B" w:rsidP="009D2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</w:t>
      </w:r>
      <w:r w:rsidR="009D2A09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</w:t>
      </w:r>
      <w:r w:rsidR="009D2A09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autônom</w:t>
      </w:r>
      <w:r w:rsidR="009D2A09">
        <w:rPr>
          <w:rFonts w:ascii="Arial" w:eastAsia="Arial" w:hAnsi="Arial" w:cs="Arial"/>
          <w:i/>
          <w:color w:val="000000"/>
          <w:sz w:val="14"/>
          <w:szCs w:val="14"/>
        </w:rPr>
        <w:t>o-</w:t>
      </w:r>
      <w:r w:rsidR="009D2A09" w:rsidRPr="009D2A09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9D2A09" w:rsidRPr="00EE6BD5">
        <w:rPr>
          <w:rFonts w:ascii="Arial" w:eastAsia="Arial" w:hAnsi="Arial" w:cs="Arial"/>
          <w:i/>
          <w:color w:val="000000"/>
          <w:sz w:val="14"/>
          <w:szCs w:val="14"/>
        </w:rPr>
        <w:t>UNIVIÇOSA –Viçosa /MG – Brasil</w:t>
      </w:r>
      <w:r w:rsidR="009D2A09">
        <w:rPr>
          <w:rFonts w:ascii="Arial" w:eastAsia="Arial" w:hAnsi="Arial" w:cs="Arial"/>
          <w:i/>
          <w:color w:val="000000"/>
          <w:sz w:val="14"/>
          <w:szCs w:val="14"/>
        </w:rPr>
        <w:t>.</w:t>
      </w:r>
    </w:p>
    <w:p w14:paraId="1FEF6A61" w14:textId="404DF57F" w:rsidR="009D2A09" w:rsidRDefault="009D2A09" w:rsidP="009D2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Médico Veterinário autônomo.</w:t>
      </w:r>
    </w:p>
    <w:p w14:paraId="094EF9C6" w14:textId="7E54F2C1" w:rsidR="006F66D0" w:rsidRDefault="009D2A09" w:rsidP="009D2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="00A5788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A5788B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r w:rsidR="00A5788B"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proofErr w:type="spellStart"/>
      <w:r w:rsidR="00A5788B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="00A5788B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5D0D408" w14:textId="77777777" w:rsidR="006F66D0" w:rsidRDefault="006F66D0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6F66D0">
          <w:headerReference w:type="default" r:id="rId7"/>
          <w:pgSz w:w="11906" w:h="16838"/>
          <w:pgMar w:top="1559" w:right="425" w:bottom="720" w:left="425" w:header="425" w:footer="709" w:gutter="0"/>
          <w:pgNumType w:start="1"/>
          <w:cols w:space="720"/>
        </w:sectPr>
      </w:pPr>
      <w:bookmarkStart w:id="1" w:name="_heading=h.gjdgxs" w:colFirst="0" w:colLast="0"/>
      <w:bookmarkEnd w:id="1"/>
    </w:p>
    <w:p w14:paraId="27630C1A" w14:textId="77777777" w:rsidR="006F66D0" w:rsidRDefault="00A578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7156339" w14:textId="77777777" w:rsidR="005F29CD" w:rsidRPr="00A31C95" w:rsidRDefault="005F29CD" w:rsidP="00F44795">
      <w:pPr>
        <w:pStyle w:val="PargrafodaLista"/>
        <w:spacing w:after="40" w:line="24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2" w:name="_Hlk68969052"/>
      <w:bookmarkStart w:id="3" w:name="_Hlk68948647"/>
      <w:r>
        <w:rPr>
          <w:rFonts w:ascii="Arial" w:hAnsi="Arial" w:cs="Arial"/>
          <w:sz w:val="18"/>
          <w:szCs w:val="18"/>
        </w:rPr>
        <w:t>A bovinocultura de corte no Brasil, possui grande notoriedade, ocupando o segundo lugar como maior produtor de carne bovina, sendo considerado um dos maiores rebanhos comerciais do mundo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3A8C7AF1" w14:textId="77777777" w:rsidR="005F29CD" w:rsidRPr="00885E2D" w:rsidRDefault="005F29CD" w:rsidP="00F44795">
      <w:pPr>
        <w:pStyle w:val="PargrafodaLista"/>
        <w:spacing w:after="4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20C36">
        <w:rPr>
          <w:rFonts w:ascii="Arial" w:hAnsi="Arial" w:cs="Arial"/>
          <w:sz w:val="18"/>
          <w:szCs w:val="18"/>
        </w:rPr>
        <w:t>Durante os processos de inspeção nos abatedouros é comum observar lesões características de doenças zoonóticas como tuberculose e cisticercose. A fiscalização torna-se então, uma essencial e eficiente forma de monitorar e identificar possíveis carnes veiculadoras de patógenos, garantindo a qualidade de vida e bem estar da população que consome esses produtos</w:t>
      </w:r>
      <w:r>
        <w:rPr>
          <w:rFonts w:ascii="Arial" w:hAnsi="Arial" w:cs="Arial"/>
          <w:sz w:val="18"/>
          <w:szCs w:val="18"/>
        </w:rPr>
        <w:t>¹.</w:t>
      </w:r>
      <w:r w:rsidRPr="00885E2D">
        <w:rPr>
          <w:rFonts w:ascii="Arial" w:hAnsi="Arial" w:cs="Arial"/>
          <w:sz w:val="18"/>
          <w:szCs w:val="18"/>
        </w:rPr>
        <w:t xml:space="preserve"> </w:t>
      </w:r>
    </w:p>
    <w:p w14:paraId="3A554558" w14:textId="77777777" w:rsidR="005F29CD" w:rsidRDefault="005F29CD" w:rsidP="00F44795">
      <w:pPr>
        <w:pStyle w:val="PargrafodaLista"/>
        <w:spacing w:after="4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20C36">
        <w:rPr>
          <w:rFonts w:ascii="Arial" w:hAnsi="Arial" w:cs="Arial"/>
          <w:sz w:val="18"/>
          <w:szCs w:val="18"/>
        </w:rPr>
        <w:t xml:space="preserve">Como consequência das alterações encontradas nas carcaças e vísceras, tem-se o prejuízo econômico devido </w:t>
      </w:r>
      <w:r>
        <w:rPr>
          <w:rFonts w:ascii="Arial" w:hAnsi="Arial" w:cs="Arial"/>
          <w:sz w:val="18"/>
          <w:szCs w:val="18"/>
        </w:rPr>
        <w:t xml:space="preserve">à </w:t>
      </w:r>
      <w:r w:rsidRPr="00420C36">
        <w:rPr>
          <w:rFonts w:ascii="Arial" w:hAnsi="Arial" w:cs="Arial"/>
          <w:sz w:val="18"/>
          <w:szCs w:val="18"/>
        </w:rPr>
        <w:t xml:space="preserve">condenação total ou </w:t>
      </w:r>
      <w:r>
        <w:rPr>
          <w:rFonts w:ascii="Arial" w:hAnsi="Arial" w:cs="Arial"/>
          <w:sz w:val="18"/>
          <w:szCs w:val="18"/>
        </w:rPr>
        <w:t>parcial</w:t>
      </w:r>
      <w:r w:rsidRPr="00420C36">
        <w:rPr>
          <w:rFonts w:ascii="Arial" w:hAnsi="Arial" w:cs="Arial"/>
          <w:sz w:val="18"/>
          <w:szCs w:val="18"/>
        </w:rPr>
        <w:t xml:space="preserve"> delas. Embora as perdas financeiras com carcaças sejam maiores quando possui descarte das mesmas, a condenação de vísceras é mais frequente</w:t>
      </w:r>
      <w:r>
        <w:rPr>
          <w:rFonts w:ascii="Arial" w:hAnsi="Arial" w:cs="Arial"/>
          <w:sz w:val="18"/>
          <w:szCs w:val="18"/>
        </w:rPr>
        <w:t>. O</w:t>
      </w:r>
      <w:r w:rsidRPr="00420C36">
        <w:rPr>
          <w:rFonts w:ascii="Arial" w:hAnsi="Arial" w:cs="Arial"/>
          <w:sz w:val="18"/>
          <w:szCs w:val="18"/>
        </w:rPr>
        <w:t xml:space="preserve">s órgãos são importantes subprodutos, já que agregam valor </w:t>
      </w:r>
      <w:r>
        <w:rPr>
          <w:rFonts w:ascii="Arial" w:hAnsi="Arial" w:cs="Arial"/>
          <w:sz w:val="18"/>
          <w:szCs w:val="18"/>
        </w:rPr>
        <w:t xml:space="preserve">a </w:t>
      </w:r>
      <w:r w:rsidRPr="00420C36">
        <w:rPr>
          <w:rFonts w:ascii="Arial" w:hAnsi="Arial" w:cs="Arial"/>
          <w:sz w:val="18"/>
          <w:szCs w:val="18"/>
        </w:rPr>
        <w:t>produtos cárneos e são excelentes fontes de nutrientes que atendem as classes sociais menos favorecidas</w:t>
      </w:r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>.</w:t>
      </w:r>
    </w:p>
    <w:p w14:paraId="745219FB" w14:textId="77777777" w:rsidR="005F29CD" w:rsidRPr="00885E2D" w:rsidRDefault="005F29CD" w:rsidP="00F44795">
      <w:pPr>
        <w:pStyle w:val="PargrafodaLista"/>
        <w:spacing w:after="4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estudo objetivou-se identificar e avaliar as principais lesões e enfermidades que levaram a condenação de carcaças e vísceras bovinas em Abatedouro-Frigorífico sobre regime de inspeção estadual no município de Atílio </w:t>
      </w:r>
      <w:proofErr w:type="spellStart"/>
      <w:r>
        <w:rPr>
          <w:rFonts w:ascii="Arial" w:eastAsia="Arial" w:hAnsi="Arial" w:cs="Arial"/>
          <w:sz w:val="18"/>
          <w:szCs w:val="18"/>
        </w:rPr>
        <w:t>Vivácqua</w:t>
      </w:r>
      <w:proofErr w:type="spellEnd"/>
      <w:r>
        <w:rPr>
          <w:rFonts w:ascii="Arial" w:eastAsia="Arial" w:hAnsi="Arial" w:cs="Arial"/>
          <w:sz w:val="18"/>
          <w:szCs w:val="18"/>
        </w:rPr>
        <w:t>, no sul do Espírito Santo.</w:t>
      </w:r>
    </w:p>
    <w:bookmarkEnd w:id="2"/>
    <w:bookmarkEnd w:id="3"/>
    <w:p w14:paraId="6C6C85B4" w14:textId="77777777" w:rsidR="006F66D0" w:rsidRDefault="006F66D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A523132" w14:textId="77777777" w:rsidR="006F66D0" w:rsidRDefault="00A578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 w14:paraId="59AD1D48" w14:textId="349E5F63" w:rsidR="006F66D0" w:rsidRDefault="005F29CD" w:rsidP="001B0F1F">
      <w:pPr>
        <w:spacing w:after="40"/>
        <w:jc w:val="both"/>
        <w:rPr>
          <w:rFonts w:ascii="Arial" w:hAnsi="Arial" w:cs="Arial"/>
          <w:sz w:val="18"/>
          <w:szCs w:val="18"/>
        </w:rPr>
      </w:pPr>
      <w:bookmarkStart w:id="4" w:name="_Hlk87984702"/>
      <w:r>
        <w:rPr>
          <w:rFonts w:ascii="Arial" w:eastAsia="Arial" w:hAnsi="Arial" w:cs="Arial"/>
          <w:sz w:val="18"/>
          <w:szCs w:val="18"/>
        </w:rPr>
        <w:t>Foram utilizados dados de relatórios mensais, referentes aos meses de janeiro a março de 2021</w:t>
      </w:r>
      <w:r w:rsidR="009D2A09">
        <w:rPr>
          <w:rFonts w:ascii="Arial" w:eastAsia="Arial" w:hAnsi="Arial" w:cs="Arial"/>
          <w:sz w:val="18"/>
          <w:szCs w:val="18"/>
        </w:rPr>
        <w:t xml:space="preserve"> de bovinos abatidos em frigorífico neste período</w:t>
      </w:r>
      <w:r>
        <w:rPr>
          <w:rFonts w:ascii="Arial" w:eastAsia="Arial" w:hAnsi="Arial" w:cs="Arial"/>
          <w:sz w:val="18"/>
          <w:szCs w:val="18"/>
        </w:rPr>
        <w:t>. Neste período foram totalizados 1.421 bovinos abatidos, sendo que 677 vísceras (47,64%) e 39 carcaças (2,74%) foram condenadas.</w:t>
      </w:r>
      <w:bookmarkEnd w:id="4"/>
    </w:p>
    <w:p w14:paraId="3ABE1B21" w14:textId="77777777" w:rsidR="001B0F1F" w:rsidRPr="001B0F1F" w:rsidRDefault="001B0F1F" w:rsidP="001B0F1F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1493BD4" w14:textId="77777777" w:rsidR="006F66D0" w:rsidRDefault="00A578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 w14:paraId="4211D8AC" w14:textId="3E38EFF8" w:rsidR="005F29CD" w:rsidRDefault="005F29CD" w:rsidP="005A0A2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principais enfermidades responsáveis por </w:t>
      </w:r>
      <w:r w:rsidR="00D62453">
        <w:rPr>
          <w:rFonts w:ascii="Arial" w:eastAsia="Arial" w:hAnsi="Arial" w:cs="Arial"/>
          <w:sz w:val="18"/>
          <w:szCs w:val="18"/>
        </w:rPr>
        <w:t>sequestro</w:t>
      </w:r>
      <w:r>
        <w:rPr>
          <w:rFonts w:ascii="Arial" w:eastAsia="Arial" w:hAnsi="Arial" w:cs="Arial"/>
          <w:sz w:val="18"/>
          <w:szCs w:val="18"/>
        </w:rPr>
        <w:t xml:space="preserve"> de carcaça</w:t>
      </w:r>
      <w:r w:rsidR="00D6245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para o departamento de inspeção final</w:t>
      </w:r>
      <w:r w:rsidR="00D62453">
        <w:rPr>
          <w:rFonts w:ascii="Arial" w:eastAsia="Arial" w:hAnsi="Arial" w:cs="Arial"/>
          <w:sz w:val="18"/>
          <w:szCs w:val="18"/>
        </w:rPr>
        <w:t xml:space="preserve"> (DIF)</w:t>
      </w:r>
      <w:r>
        <w:rPr>
          <w:rFonts w:ascii="Arial" w:eastAsia="Arial" w:hAnsi="Arial" w:cs="Arial"/>
          <w:sz w:val="18"/>
          <w:szCs w:val="18"/>
        </w:rPr>
        <w:t>, foram cisticercose e tuberculose</w:t>
      </w:r>
      <w:r w:rsidRPr="001B0F1F">
        <w:rPr>
          <w:rFonts w:ascii="Arial" w:eastAsia="Arial" w:hAnsi="Arial" w:cs="Arial"/>
          <w:sz w:val="18"/>
          <w:szCs w:val="18"/>
        </w:rPr>
        <w:t>. O destino das carcaças com presença de cisticercose foram o tratamento pelo frio, no qual a porcentagem de animais positivos foi de 2,26%.</w:t>
      </w:r>
      <w:r>
        <w:rPr>
          <w:rFonts w:ascii="Arial" w:eastAsia="Arial" w:hAnsi="Arial" w:cs="Arial"/>
          <w:sz w:val="18"/>
          <w:szCs w:val="18"/>
        </w:rPr>
        <w:t xml:space="preserve"> Esse resultado assemelha-se ao publicado por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eastAsia="Arial" w:hAnsi="Arial" w:cs="Arial"/>
          <w:sz w:val="18"/>
          <w:szCs w:val="18"/>
        </w:rPr>
        <w:t>com 3,56% casos positivos em Vitória da Conquista, estado da Bahia. Analisando dados referentes ao descarte de cabeças, a cisticercose foi o segundo motivo de condenação com 23,04%. Entre as causas de condenações do coração, a cisticercose apresentou 32%, e no fígado 0,64%. Locais esses semelhantes aos resultados encontrados por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, que relataram 80% de cisticercose em cabeça e 14% em coração. A condenação total de carcaças por tuberculose, representou 0,28% do total de bovinos abatidos. Porém no estudo apresentado por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eastAsia="Arial" w:hAnsi="Arial" w:cs="Arial"/>
          <w:sz w:val="18"/>
          <w:szCs w:val="18"/>
        </w:rPr>
        <w:t xml:space="preserve">as causas consistiram em magreza </w:t>
      </w:r>
      <w:r w:rsidR="00337941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 xml:space="preserve">24,74%, contusão </w:t>
      </w:r>
      <w:r w:rsidR="00337941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 xml:space="preserve">17,53% e contaminação </w:t>
      </w:r>
      <w:r w:rsidR="00337941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>14,43%. Já em estudo conduzido por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concluíram que 1,62% das carcaças com condenação total, 50% foram por contusões generalizadas e 50% por tuberculose.</w:t>
      </w:r>
    </w:p>
    <w:p w14:paraId="41B20511" w14:textId="280FC2C8" w:rsidR="005F29CD" w:rsidRDefault="005F29CD" w:rsidP="005A0A2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Dentre as condenações de vísceras (tabela 1) o fígado apresentou maior índice de descarte com 21,95%, seguido de rins </w:t>
      </w:r>
      <w:r w:rsidR="005A0A25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>11,4%, intestino</w:t>
      </w:r>
      <w:r w:rsidR="005A0A25">
        <w:rPr>
          <w:rFonts w:ascii="Arial" w:eastAsia="Arial" w:hAnsi="Arial" w:cs="Arial"/>
          <w:sz w:val="18"/>
          <w:szCs w:val="18"/>
        </w:rPr>
        <w:t xml:space="preserve"> com </w:t>
      </w:r>
      <w:r>
        <w:rPr>
          <w:rFonts w:ascii="Arial" w:eastAsia="Arial" w:hAnsi="Arial" w:cs="Arial"/>
          <w:sz w:val="18"/>
          <w:szCs w:val="18"/>
        </w:rPr>
        <w:t>10,2%, coração</w:t>
      </w:r>
      <w:r w:rsidR="005A0A25">
        <w:rPr>
          <w:rFonts w:ascii="Arial" w:eastAsia="Arial" w:hAnsi="Arial" w:cs="Arial"/>
          <w:sz w:val="18"/>
          <w:szCs w:val="18"/>
        </w:rPr>
        <w:t xml:space="preserve"> com </w:t>
      </w:r>
      <w:r>
        <w:rPr>
          <w:rFonts w:ascii="Arial" w:eastAsia="Arial" w:hAnsi="Arial" w:cs="Arial"/>
          <w:sz w:val="18"/>
          <w:szCs w:val="18"/>
        </w:rPr>
        <w:t>3,51% e pulmão</w:t>
      </w:r>
      <w:r w:rsidR="005A0A25">
        <w:rPr>
          <w:rFonts w:ascii="Arial" w:eastAsia="Arial" w:hAnsi="Arial" w:cs="Arial"/>
          <w:sz w:val="18"/>
          <w:szCs w:val="18"/>
        </w:rPr>
        <w:t xml:space="preserve"> com </w:t>
      </w:r>
      <w:r>
        <w:rPr>
          <w:rFonts w:ascii="Arial" w:eastAsia="Arial" w:hAnsi="Arial" w:cs="Arial"/>
          <w:sz w:val="18"/>
          <w:szCs w:val="18"/>
        </w:rPr>
        <w:t>0,56%. Divergindo dos dados obtidos por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, em que as vísceras com maiores índices de condenação foram os pulmões com 36,02%, fígad</w:t>
      </w:r>
      <w:r w:rsidR="004C71D2">
        <w:rPr>
          <w:rFonts w:ascii="Arial" w:eastAsia="Arial" w:hAnsi="Arial" w:cs="Arial"/>
          <w:sz w:val="18"/>
          <w:szCs w:val="18"/>
        </w:rPr>
        <w:t>o</w:t>
      </w:r>
      <w:r w:rsidR="00337941">
        <w:rPr>
          <w:rFonts w:ascii="Arial" w:eastAsia="Arial" w:hAnsi="Arial" w:cs="Arial"/>
          <w:sz w:val="18"/>
          <w:szCs w:val="18"/>
        </w:rPr>
        <w:t xml:space="preserve"> </w:t>
      </w:r>
      <w:r w:rsidR="005A0A25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>25,12%, rins</w:t>
      </w:r>
      <w:r w:rsidR="004C71D2">
        <w:rPr>
          <w:rFonts w:ascii="Arial" w:eastAsia="Arial" w:hAnsi="Arial" w:cs="Arial"/>
          <w:sz w:val="18"/>
          <w:szCs w:val="18"/>
        </w:rPr>
        <w:t xml:space="preserve"> </w:t>
      </w:r>
      <w:r w:rsidR="005A0A25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>22,47% e coração</w:t>
      </w:r>
      <w:r w:rsidR="005A0A25">
        <w:rPr>
          <w:rFonts w:ascii="Arial" w:eastAsia="Arial" w:hAnsi="Arial" w:cs="Arial"/>
          <w:sz w:val="18"/>
          <w:szCs w:val="18"/>
        </w:rPr>
        <w:t xml:space="preserve"> com </w:t>
      </w:r>
      <w:r>
        <w:rPr>
          <w:rFonts w:ascii="Arial" w:eastAsia="Arial" w:hAnsi="Arial" w:cs="Arial"/>
          <w:sz w:val="18"/>
          <w:szCs w:val="18"/>
        </w:rPr>
        <w:t>16,39%. Resultados parecidos com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que evidenciou pulmão com 72,06%, fígado</w:t>
      </w:r>
      <w:r w:rsidR="004C71D2">
        <w:rPr>
          <w:rFonts w:ascii="Arial" w:eastAsia="Arial" w:hAnsi="Arial" w:cs="Arial"/>
          <w:sz w:val="18"/>
          <w:szCs w:val="18"/>
        </w:rPr>
        <w:t xml:space="preserve"> </w:t>
      </w:r>
      <w:r w:rsidR="005A0A25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>20,65%, coração</w:t>
      </w:r>
      <w:r w:rsidR="00337941">
        <w:rPr>
          <w:rFonts w:ascii="Arial" w:eastAsia="Arial" w:hAnsi="Arial" w:cs="Arial"/>
          <w:sz w:val="18"/>
          <w:szCs w:val="18"/>
        </w:rPr>
        <w:t xml:space="preserve"> </w:t>
      </w:r>
      <w:r w:rsidR="005A0A25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 xml:space="preserve">4,05% e rins </w:t>
      </w:r>
      <w:r w:rsidR="005A0A25">
        <w:rPr>
          <w:rFonts w:ascii="Arial" w:eastAsia="Arial" w:hAnsi="Arial" w:cs="Arial"/>
          <w:sz w:val="18"/>
          <w:szCs w:val="18"/>
        </w:rPr>
        <w:t xml:space="preserve">com </w:t>
      </w:r>
      <w:r>
        <w:rPr>
          <w:rFonts w:ascii="Arial" w:eastAsia="Arial" w:hAnsi="Arial" w:cs="Arial"/>
          <w:sz w:val="18"/>
          <w:szCs w:val="18"/>
        </w:rPr>
        <w:t xml:space="preserve">1,62%. </w:t>
      </w:r>
    </w:p>
    <w:p w14:paraId="5594D3A0" w14:textId="77777777" w:rsidR="009D2A09" w:rsidRDefault="009D2A09" w:rsidP="009D2A0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EF516D9" w14:textId="77777777" w:rsidR="009D2A09" w:rsidRDefault="009D2A09" w:rsidP="009D2A09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BEE3D89" w14:textId="77777777" w:rsidR="006F238F" w:rsidRDefault="006F238F" w:rsidP="005F29C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730BC2B" w14:textId="44E979B0" w:rsidR="004C71D2" w:rsidRDefault="005F29CD" w:rsidP="005F29C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principal causa de condenação do fígado foi a presença de fascíola hepática com 38,14% dos casos e telangiectasia com 20,19%. Dados semelhantes foram encontrados por</w:t>
      </w:r>
      <w:r>
        <w:rPr>
          <w:rFonts w:ascii="Arial" w:eastAsia="Arial" w:hAnsi="Arial" w:cs="Arial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, apresentando 62,15% de fígados com fasciolose, seguido de telangiectasia com 12,67%. Porém se diferem de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 que obteve abcesso como principal causa e 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 que observou telangiectasia com 29,21%, no estado do Pará. Apesar de apresentar abcesso como principal alteração, o estudo regido por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, demonstraram telangiectasia como segundo fator de descarte, com 18,57%.</w:t>
      </w:r>
    </w:p>
    <w:p w14:paraId="66DE45EF" w14:textId="13B6CF05" w:rsidR="005F29CD" w:rsidRDefault="005F29CD" w:rsidP="005F29C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coração, pericardite compõe as principais causas com 34% e em segundo cisticercose com 32%. Esses casos corroboram com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eastAsia="Arial" w:hAnsi="Arial" w:cs="Arial"/>
          <w:sz w:val="18"/>
          <w:szCs w:val="18"/>
        </w:rPr>
        <w:t>apresentado 100% de condenação por pericardite. Porém no estudo realizado por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, congestão com 51,25% e pericardite com 28,72% foram as principais causas de condenação.</w:t>
      </w:r>
    </w:p>
    <w:p w14:paraId="782DCDA5" w14:textId="77777777" w:rsidR="005F29CD" w:rsidRDefault="005F29CD" w:rsidP="005F29C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relação as lesões que levaram a condenação dos rins, o cisto urinário constitui a principal causa com 55,55% e em segundo nefrite com 22,84%. Assim como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, cisto urinário correspondeu a 30,87%. Entretanto resultados expostos por 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, nefrite foi a principal causa com 55,9%.</w:t>
      </w:r>
    </w:p>
    <w:p w14:paraId="10371B65" w14:textId="77777777" w:rsidR="005F29CD" w:rsidRDefault="005F29CD" w:rsidP="005F29C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Já as condenações pulmonares apresentaram uma porcentagem pequena entre as vísceras com 0,56%. Sendo condenadas por causa de adenite com 75% e aderência com 25%. Os achados diferem com encontrado por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, suas principais causas foram por enfisema pulmonar com 48,37% e aspiração por sangue com 17,88%.</w:t>
      </w:r>
    </w:p>
    <w:p w14:paraId="28F1D440" w14:textId="008E5CC0" w:rsidR="005A0A25" w:rsidRDefault="005F29CD" w:rsidP="004C71D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intestino foi condenado por aderência com 73,79%, seguido de contaminação com 21,38%. Contudo, dados obtidos por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 em seu estudo conduzido no Estado do Pará, contaminação com 72,48%, seguida de verminose com 23,03% e o total de intestino condenado foi inferior ao presente estudo, com prevalência de 4,59%. </w:t>
      </w:r>
      <w:r w:rsidR="00D62453">
        <w:rPr>
          <w:rFonts w:ascii="Arial" w:eastAsia="Arial" w:hAnsi="Arial" w:cs="Arial"/>
          <w:sz w:val="18"/>
          <w:szCs w:val="18"/>
        </w:rPr>
        <w:t xml:space="preserve">Os motivos que acarretam condenações de vísceras </w:t>
      </w:r>
      <w:r w:rsidR="004C71D2">
        <w:rPr>
          <w:rFonts w:ascii="Arial" w:eastAsia="Arial" w:hAnsi="Arial" w:cs="Arial"/>
          <w:sz w:val="18"/>
          <w:szCs w:val="18"/>
        </w:rPr>
        <w:t>dependem de</w:t>
      </w:r>
      <w:r w:rsidR="00D62453">
        <w:rPr>
          <w:rFonts w:ascii="Arial" w:eastAsia="Arial" w:hAnsi="Arial" w:cs="Arial"/>
          <w:sz w:val="18"/>
          <w:szCs w:val="18"/>
        </w:rPr>
        <w:t xml:space="preserve"> questões sanitárias, falhas de manejo na propriedade de origem, transporte ou falhas tecnológicas</w:t>
      </w:r>
      <w:r w:rsidR="004C71D2">
        <w:rPr>
          <w:rFonts w:ascii="Arial" w:eastAsia="Arial" w:hAnsi="Arial" w:cs="Arial"/>
          <w:sz w:val="18"/>
          <w:szCs w:val="18"/>
        </w:rPr>
        <w:t xml:space="preserve"> durante processo de abate</w:t>
      </w:r>
      <w:r w:rsidR="00D62453">
        <w:rPr>
          <w:rFonts w:ascii="Arial" w:eastAsia="Arial" w:hAnsi="Arial" w:cs="Arial"/>
          <w:sz w:val="18"/>
          <w:szCs w:val="18"/>
        </w:rPr>
        <w:t xml:space="preserve">. Portanto as divergências de resultados deste trabalho quando </w:t>
      </w:r>
      <w:r w:rsidR="004C71D2">
        <w:rPr>
          <w:rFonts w:ascii="Arial" w:eastAsia="Arial" w:hAnsi="Arial" w:cs="Arial"/>
          <w:sz w:val="18"/>
          <w:szCs w:val="18"/>
        </w:rPr>
        <w:t>comparado à</w:t>
      </w:r>
      <w:r w:rsidR="00D62453">
        <w:rPr>
          <w:rFonts w:ascii="Arial" w:eastAsia="Arial" w:hAnsi="Arial" w:cs="Arial"/>
          <w:sz w:val="18"/>
          <w:szCs w:val="18"/>
        </w:rPr>
        <w:t xml:space="preserve"> literatura,</w:t>
      </w:r>
      <w:r w:rsidR="004C71D2">
        <w:rPr>
          <w:rFonts w:ascii="Arial" w:eastAsia="Arial" w:hAnsi="Arial" w:cs="Arial"/>
          <w:sz w:val="18"/>
          <w:szCs w:val="18"/>
        </w:rPr>
        <w:t xml:space="preserve"> possa ser explicado por tais fatores</w:t>
      </w:r>
      <w:r w:rsidR="00044C24">
        <w:rPr>
          <w:rFonts w:ascii="Arial" w:eastAsia="Arial" w:hAnsi="Arial" w:cs="Arial"/>
          <w:sz w:val="18"/>
          <w:szCs w:val="18"/>
        </w:rPr>
        <w:t>¹</w:t>
      </w:r>
      <w:r w:rsidR="004C71D2">
        <w:rPr>
          <w:rFonts w:ascii="Arial" w:eastAsia="Arial" w:hAnsi="Arial" w:cs="Arial"/>
          <w:sz w:val="18"/>
          <w:szCs w:val="18"/>
        </w:rPr>
        <w:t>.</w:t>
      </w:r>
    </w:p>
    <w:p w14:paraId="4D2546E2" w14:textId="77777777" w:rsidR="00044C24" w:rsidRDefault="00044C24" w:rsidP="005F29CD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b/>
          <w:sz w:val="18"/>
          <w:szCs w:val="18"/>
        </w:rPr>
      </w:pPr>
    </w:p>
    <w:p w14:paraId="71C2A6D3" w14:textId="7088DA22" w:rsidR="005F29CD" w:rsidRDefault="005F29CD" w:rsidP="005F29CD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Condenações de vísceras bovinas no período de </w:t>
      </w:r>
    </w:p>
    <w:p w14:paraId="5FC45792" w14:textId="0A607128" w:rsidR="005A0A25" w:rsidRDefault="005F29CD" w:rsidP="005A0A25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janeiro a março de 2021 em abatedouro no sul do Espírito</w:t>
      </w:r>
      <w:r w:rsidR="005A0A2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Santo.</w:t>
      </w:r>
    </w:p>
    <w:tbl>
      <w:tblPr>
        <w:tblStyle w:val="TabeladeGrade2-nfase61"/>
        <w:tblW w:w="0" w:type="auto"/>
        <w:tblLook w:val="04A0" w:firstRow="1" w:lastRow="0" w:firstColumn="1" w:lastColumn="0" w:noHBand="0" w:noVBand="1"/>
      </w:tblPr>
      <w:tblGrid>
        <w:gridCol w:w="1719"/>
        <w:gridCol w:w="1719"/>
        <w:gridCol w:w="1720"/>
      </w:tblGrid>
      <w:tr w:rsidR="005F29CD" w14:paraId="61E2B25E" w14:textId="77777777" w:rsidTr="00AC6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8CC4FA7" w14:textId="77777777" w:rsidR="005F29CD" w:rsidRPr="001E71E9" w:rsidRDefault="005F29CD" w:rsidP="00AC6401">
            <w:pPr>
              <w:spacing w:after="40"/>
              <w:jc w:val="center"/>
              <w:rPr>
                <w:rFonts w:ascii="Arial" w:eastAsia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1E71E9">
              <w:rPr>
                <w:rFonts w:ascii="Arial" w:eastAsia="Arial" w:hAnsi="Arial" w:cs="Arial"/>
                <w:bCs w:val="0"/>
                <w:color w:val="000000" w:themeColor="text1"/>
                <w:sz w:val="18"/>
                <w:szCs w:val="18"/>
              </w:rPr>
              <w:t>Vísceras</w:t>
            </w:r>
          </w:p>
        </w:tc>
        <w:tc>
          <w:tcPr>
            <w:tcW w:w="1719" w:type="dxa"/>
          </w:tcPr>
          <w:p w14:paraId="5118ABB5" w14:textId="77777777" w:rsidR="005F29CD" w:rsidRPr="001E71E9" w:rsidRDefault="005F29CD" w:rsidP="00AC6401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 w:val="0"/>
                <w:color w:val="000000" w:themeColor="text1"/>
                <w:sz w:val="18"/>
                <w:szCs w:val="18"/>
              </w:rPr>
              <w:t>Número de Condenações</w:t>
            </w:r>
          </w:p>
        </w:tc>
        <w:tc>
          <w:tcPr>
            <w:tcW w:w="1720" w:type="dxa"/>
          </w:tcPr>
          <w:p w14:paraId="3A802A47" w14:textId="77777777" w:rsidR="005F29CD" w:rsidRPr="001E71E9" w:rsidRDefault="005F29CD" w:rsidP="00AC6401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color w:val="000000" w:themeColor="text1"/>
                <w:sz w:val="18"/>
                <w:szCs w:val="18"/>
              </w:rPr>
            </w:pPr>
            <w:r w:rsidRPr="001E71E9">
              <w:rPr>
                <w:rFonts w:ascii="Arial" w:eastAsia="Arial" w:hAnsi="Arial" w:cs="Arial"/>
                <w:bCs w:val="0"/>
                <w:color w:val="000000" w:themeColor="text1"/>
                <w:sz w:val="18"/>
                <w:szCs w:val="18"/>
              </w:rPr>
              <w:t>%</w:t>
            </w:r>
          </w:p>
        </w:tc>
      </w:tr>
      <w:tr w:rsidR="005F29CD" w14:paraId="259807B8" w14:textId="77777777" w:rsidTr="00AC6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0E1B26A" w14:textId="77777777" w:rsidR="005F29CD" w:rsidRPr="004C71D2" w:rsidRDefault="005F29CD" w:rsidP="00AC6401">
            <w:pPr>
              <w:spacing w:after="40"/>
              <w:jc w:val="center"/>
              <w:rPr>
                <w:rFonts w:ascii="Arial" w:eastAsia="Arial" w:hAnsi="Arial" w:cs="Arial"/>
                <w:bCs w:val="0"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Cs w:val="0"/>
                <w:sz w:val="18"/>
                <w:szCs w:val="18"/>
              </w:rPr>
              <w:t>Fígado</w:t>
            </w:r>
          </w:p>
        </w:tc>
        <w:tc>
          <w:tcPr>
            <w:tcW w:w="1719" w:type="dxa"/>
          </w:tcPr>
          <w:p w14:paraId="7D86666B" w14:textId="77777777" w:rsidR="005F29CD" w:rsidRPr="004C71D2" w:rsidRDefault="005F29CD" w:rsidP="00AC6401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/>
                <w:sz w:val="18"/>
                <w:szCs w:val="18"/>
              </w:rPr>
              <w:t>312</w:t>
            </w:r>
          </w:p>
        </w:tc>
        <w:tc>
          <w:tcPr>
            <w:tcW w:w="1720" w:type="dxa"/>
          </w:tcPr>
          <w:p w14:paraId="281415E0" w14:textId="77777777" w:rsidR="005F29CD" w:rsidRPr="001E71E9" w:rsidRDefault="005F29CD" w:rsidP="00AC6401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 w:rsidRPr="001E71E9"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21,95%</w:t>
            </w:r>
          </w:p>
        </w:tc>
      </w:tr>
      <w:tr w:rsidR="005F29CD" w14:paraId="3B0DEE76" w14:textId="77777777" w:rsidTr="00AC6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46CF369" w14:textId="77777777" w:rsidR="005F29CD" w:rsidRPr="004C71D2" w:rsidRDefault="005F29CD" w:rsidP="00AC6401">
            <w:pPr>
              <w:spacing w:after="40"/>
              <w:jc w:val="center"/>
              <w:rPr>
                <w:rFonts w:ascii="Arial" w:eastAsia="Arial" w:hAnsi="Arial" w:cs="Arial"/>
                <w:bCs w:val="0"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Cs w:val="0"/>
                <w:sz w:val="18"/>
                <w:szCs w:val="18"/>
              </w:rPr>
              <w:t>Rins</w:t>
            </w:r>
          </w:p>
        </w:tc>
        <w:tc>
          <w:tcPr>
            <w:tcW w:w="1719" w:type="dxa"/>
          </w:tcPr>
          <w:p w14:paraId="72C2ED9D" w14:textId="77777777" w:rsidR="005F29CD" w:rsidRPr="004C71D2" w:rsidRDefault="005F29CD" w:rsidP="00AC6401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/>
                <w:sz w:val="18"/>
                <w:szCs w:val="18"/>
              </w:rPr>
              <w:t>162</w:t>
            </w:r>
          </w:p>
        </w:tc>
        <w:tc>
          <w:tcPr>
            <w:tcW w:w="1720" w:type="dxa"/>
          </w:tcPr>
          <w:p w14:paraId="3B22A482" w14:textId="77777777" w:rsidR="005F29CD" w:rsidRPr="001E71E9" w:rsidRDefault="005F29CD" w:rsidP="00AC6401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 w:rsidRPr="001E71E9"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1,4</w:t>
            </w:r>
            <w:r w:rsidRPr="001E71E9"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%</w:t>
            </w:r>
          </w:p>
        </w:tc>
      </w:tr>
      <w:tr w:rsidR="005F29CD" w14:paraId="0F51FF26" w14:textId="77777777" w:rsidTr="00AC6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081F98A" w14:textId="77777777" w:rsidR="005F29CD" w:rsidRPr="004C71D2" w:rsidRDefault="005F29CD" w:rsidP="00AC6401">
            <w:pPr>
              <w:spacing w:after="40"/>
              <w:jc w:val="center"/>
              <w:rPr>
                <w:rFonts w:ascii="Arial" w:eastAsia="Arial" w:hAnsi="Arial" w:cs="Arial"/>
                <w:bCs w:val="0"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Cs w:val="0"/>
                <w:sz w:val="18"/>
                <w:szCs w:val="18"/>
              </w:rPr>
              <w:t>Intestino</w:t>
            </w:r>
          </w:p>
        </w:tc>
        <w:tc>
          <w:tcPr>
            <w:tcW w:w="1719" w:type="dxa"/>
          </w:tcPr>
          <w:p w14:paraId="354EE05A" w14:textId="77777777" w:rsidR="005F29CD" w:rsidRPr="004C71D2" w:rsidRDefault="005F29CD" w:rsidP="00AC6401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/>
                <w:sz w:val="18"/>
                <w:szCs w:val="18"/>
              </w:rPr>
              <w:t>145</w:t>
            </w:r>
          </w:p>
        </w:tc>
        <w:tc>
          <w:tcPr>
            <w:tcW w:w="1720" w:type="dxa"/>
          </w:tcPr>
          <w:p w14:paraId="2E019F88" w14:textId="77777777" w:rsidR="005F29CD" w:rsidRPr="001E71E9" w:rsidRDefault="005F29CD" w:rsidP="00AC6401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 w:rsidRPr="001E71E9"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0,2</w:t>
            </w:r>
            <w:r w:rsidRPr="001E71E9"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%</w:t>
            </w:r>
          </w:p>
        </w:tc>
      </w:tr>
      <w:tr w:rsidR="005F29CD" w14:paraId="3E7A518F" w14:textId="77777777" w:rsidTr="00AC6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7B60701" w14:textId="77777777" w:rsidR="005F29CD" w:rsidRPr="004C71D2" w:rsidRDefault="005F29CD" w:rsidP="00AC6401">
            <w:pPr>
              <w:spacing w:after="40"/>
              <w:jc w:val="center"/>
              <w:rPr>
                <w:rFonts w:ascii="Arial" w:eastAsia="Arial" w:hAnsi="Arial" w:cs="Arial"/>
                <w:bCs w:val="0"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Cs w:val="0"/>
                <w:sz w:val="18"/>
                <w:szCs w:val="18"/>
              </w:rPr>
              <w:t>Coração</w:t>
            </w:r>
          </w:p>
        </w:tc>
        <w:tc>
          <w:tcPr>
            <w:tcW w:w="1719" w:type="dxa"/>
          </w:tcPr>
          <w:p w14:paraId="7D37A606" w14:textId="77777777" w:rsidR="005F29CD" w:rsidRPr="004C71D2" w:rsidRDefault="005F29CD" w:rsidP="00AC6401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720" w:type="dxa"/>
          </w:tcPr>
          <w:p w14:paraId="5AE92D43" w14:textId="77777777" w:rsidR="005F29CD" w:rsidRPr="001E71E9" w:rsidRDefault="005F29CD" w:rsidP="00AC6401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 w:rsidRPr="001E71E9"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3,51%</w:t>
            </w:r>
          </w:p>
        </w:tc>
      </w:tr>
      <w:tr w:rsidR="005F29CD" w14:paraId="6865777D" w14:textId="77777777" w:rsidTr="00AC6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597BC34" w14:textId="77777777" w:rsidR="005F29CD" w:rsidRPr="004C71D2" w:rsidRDefault="005F29CD" w:rsidP="00AC6401">
            <w:pPr>
              <w:spacing w:after="40"/>
              <w:jc w:val="center"/>
              <w:rPr>
                <w:rFonts w:ascii="Arial" w:eastAsia="Arial" w:hAnsi="Arial" w:cs="Arial"/>
                <w:bCs w:val="0"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Cs w:val="0"/>
                <w:sz w:val="18"/>
                <w:szCs w:val="18"/>
              </w:rPr>
              <w:t>Pulmão</w:t>
            </w:r>
          </w:p>
        </w:tc>
        <w:tc>
          <w:tcPr>
            <w:tcW w:w="1719" w:type="dxa"/>
          </w:tcPr>
          <w:p w14:paraId="591C0E40" w14:textId="77777777" w:rsidR="005F29CD" w:rsidRPr="004C71D2" w:rsidRDefault="005F29CD" w:rsidP="00AC6401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20" w:type="dxa"/>
          </w:tcPr>
          <w:p w14:paraId="245B94BA" w14:textId="77777777" w:rsidR="005F29CD" w:rsidRPr="001E71E9" w:rsidRDefault="005F29CD" w:rsidP="00AC6401">
            <w:pPr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 w:rsidRPr="001E71E9"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0,56%</w:t>
            </w:r>
          </w:p>
        </w:tc>
      </w:tr>
      <w:tr w:rsidR="005F29CD" w14:paraId="5EA27A45" w14:textId="77777777" w:rsidTr="00AC64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7A5E109" w14:textId="77777777" w:rsidR="005F29CD" w:rsidRPr="004C71D2" w:rsidRDefault="005F29CD" w:rsidP="00AC6401">
            <w:pPr>
              <w:spacing w:after="40"/>
              <w:jc w:val="center"/>
              <w:rPr>
                <w:rFonts w:ascii="Arial" w:eastAsia="Arial" w:hAnsi="Arial" w:cs="Arial"/>
                <w:bCs w:val="0"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Cs w:val="0"/>
                <w:sz w:val="18"/>
                <w:szCs w:val="18"/>
              </w:rPr>
              <w:t>TOTAL</w:t>
            </w:r>
          </w:p>
        </w:tc>
        <w:tc>
          <w:tcPr>
            <w:tcW w:w="1719" w:type="dxa"/>
          </w:tcPr>
          <w:p w14:paraId="51B6DBF4" w14:textId="77777777" w:rsidR="005F29CD" w:rsidRPr="004C71D2" w:rsidRDefault="005F29CD" w:rsidP="00AC6401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C71D2">
              <w:rPr>
                <w:rFonts w:ascii="Arial" w:eastAsia="Arial" w:hAnsi="Arial" w:cs="Arial"/>
                <w:b/>
                <w:sz w:val="18"/>
                <w:szCs w:val="18"/>
              </w:rPr>
              <w:t>677</w:t>
            </w:r>
          </w:p>
        </w:tc>
        <w:tc>
          <w:tcPr>
            <w:tcW w:w="1720" w:type="dxa"/>
          </w:tcPr>
          <w:p w14:paraId="6F20F6A1" w14:textId="77777777" w:rsidR="005F29CD" w:rsidRPr="00D913A8" w:rsidRDefault="005F29CD" w:rsidP="00AC6401">
            <w:pPr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C45911" w:themeColor="accent2" w:themeShade="BF"/>
                <w:sz w:val="18"/>
                <w:szCs w:val="18"/>
              </w:rPr>
            </w:pPr>
            <w:r w:rsidRPr="003F1995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47,64%</w:t>
            </w:r>
          </w:p>
        </w:tc>
      </w:tr>
    </w:tbl>
    <w:p w14:paraId="1A39859B" w14:textId="77777777" w:rsidR="005F29CD" w:rsidRDefault="005F29CD" w:rsidP="005F29C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86BDC63" w14:textId="77777777" w:rsidR="006F66D0" w:rsidRDefault="006F66D0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CF2BF65" w14:textId="77777777" w:rsidR="006F66D0" w:rsidRDefault="00A578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A422423" w14:textId="3920E408" w:rsidR="005F29CD" w:rsidRDefault="005F29CD" w:rsidP="005F29C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5" w:name="_Hlk68969137"/>
      <w:r>
        <w:rPr>
          <w:rFonts w:ascii="Arial" w:eastAsia="Arial" w:hAnsi="Arial" w:cs="Arial"/>
          <w:sz w:val="18"/>
          <w:szCs w:val="18"/>
        </w:rPr>
        <w:t xml:space="preserve">A partir deste estudo </w:t>
      </w:r>
      <w:r w:rsidR="003659FC">
        <w:rPr>
          <w:rFonts w:ascii="Arial" w:eastAsia="Arial" w:hAnsi="Arial" w:cs="Arial"/>
          <w:sz w:val="18"/>
          <w:szCs w:val="18"/>
        </w:rPr>
        <w:t xml:space="preserve">foi </w:t>
      </w:r>
      <w:r>
        <w:rPr>
          <w:rFonts w:ascii="Arial" w:eastAsia="Arial" w:hAnsi="Arial" w:cs="Arial"/>
          <w:sz w:val="18"/>
          <w:szCs w:val="18"/>
        </w:rPr>
        <w:t>possível notar expressivo índice de condenações de vísceras, com destaque para o fígado e rins</w:t>
      </w:r>
      <w:bookmarkEnd w:id="5"/>
      <w:r>
        <w:rPr>
          <w:rFonts w:ascii="Arial" w:eastAsia="Arial" w:hAnsi="Arial" w:cs="Arial"/>
          <w:sz w:val="18"/>
          <w:szCs w:val="18"/>
        </w:rPr>
        <w:t xml:space="preserve">. As carcaças por sua vez tiveram tuberculose como principal causa de condenação total e cisticercose como condenação parcial. A condenação de carcaça e vísceras dos animais de açougue são de suma importância, pois as alterações patológicas podem oferecer risco a saúde pública, por se tratar de zoonoses. </w:t>
      </w:r>
    </w:p>
    <w:sectPr w:rsidR="005F29C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2DDA" w14:textId="77777777" w:rsidR="00DB6B86" w:rsidRDefault="00DB6B86">
      <w:r>
        <w:separator/>
      </w:r>
    </w:p>
  </w:endnote>
  <w:endnote w:type="continuationSeparator" w:id="0">
    <w:p w14:paraId="4D91BA11" w14:textId="77777777" w:rsidR="00DB6B86" w:rsidRDefault="00DB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8303" w14:textId="77777777" w:rsidR="00DB6B86" w:rsidRDefault="00DB6B86">
      <w:r>
        <w:separator/>
      </w:r>
    </w:p>
  </w:footnote>
  <w:footnote w:type="continuationSeparator" w:id="0">
    <w:p w14:paraId="0011E9D3" w14:textId="77777777" w:rsidR="00DB6B86" w:rsidRDefault="00DB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AC8F" w14:textId="77777777" w:rsidR="006F66D0" w:rsidRDefault="00A578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EED74D" wp14:editId="0CC685C9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13D2DA" w14:textId="77777777" w:rsidR="006F66D0" w:rsidRDefault="00A5788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D0"/>
    <w:rsid w:val="00044C24"/>
    <w:rsid w:val="001471B0"/>
    <w:rsid w:val="001B0F1F"/>
    <w:rsid w:val="00337941"/>
    <w:rsid w:val="003659FC"/>
    <w:rsid w:val="004C71D2"/>
    <w:rsid w:val="0054635B"/>
    <w:rsid w:val="005A0A25"/>
    <w:rsid w:val="005F29CD"/>
    <w:rsid w:val="00640EAC"/>
    <w:rsid w:val="00642958"/>
    <w:rsid w:val="006E2AF3"/>
    <w:rsid w:val="006F238F"/>
    <w:rsid w:val="006F66D0"/>
    <w:rsid w:val="00861A68"/>
    <w:rsid w:val="009D2A09"/>
    <w:rsid w:val="00A5788B"/>
    <w:rsid w:val="00D34FE5"/>
    <w:rsid w:val="00D62453"/>
    <w:rsid w:val="00DB6B86"/>
    <w:rsid w:val="00EB66DF"/>
    <w:rsid w:val="00F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2605"/>
  <w15:docId w15:val="{8BDE7E57-1EE9-4501-A089-90B0E8A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5F29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deGrade2-nfase61">
    <w:name w:val="Tabela de Grade 2 - Ênfase 61"/>
    <w:basedOn w:val="Tabelanormal"/>
    <w:uiPriority w:val="47"/>
    <w:rsid w:val="005F29C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4nMooAPh5DSNymSZI7fTKxEAw==">AMUW2mXHmLajBKo8YY/ybh1xaWFk7o2cnBt8WqNufmz8tjzjD9jhnqlZjv5r2582qnNKZ/auWA02SZpKLQ9QYjLuFZoZ4qpy8pW/wjsebPuxvR8LgNX6/QohUYAyM+EP5Uwtw2xcqc+ELZ8rvJsH2RNwgmrkzVas5A==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jessica nogueira</cp:lastModifiedBy>
  <cp:revision>10</cp:revision>
  <dcterms:created xsi:type="dcterms:W3CDTF">2021-11-26T16:15:00Z</dcterms:created>
  <dcterms:modified xsi:type="dcterms:W3CDTF">2021-11-26T19:32:00Z</dcterms:modified>
</cp:coreProperties>
</file>