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smallCaps/>
          <w:sz w:val="22"/>
          <w:szCs w:val="22"/>
        </w:rPr>
      </w:pPr>
      <w:r>
        <w:rPr>
          <w:rFonts w:ascii="Arial" w:hAnsi="Arial" w:eastAsia="Arial" w:cs="Arial"/>
          <w:b/>
          <w:smallCaps/>
          <w:sz w:val="22"/>
          <w:szCs w:val="22"/>
        </w:rPr>
        <w:t>TOXOCARÍASE HUMANA, FORMAS VISCERAL E OCULAR: UMA REVISÃO DE LITERATURA</w:t>
      </w:r>
    </w:p>
    <w:p>
      <w:pPr>
        <w:spacing/>
        <w:jc w:val="center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</w:rPr>
        <w:t>Vinícius Silveira Carneiro</w:t>
      </w:r>
      <w:r>
        <w:rPr>
          <w:rFonts w:ascii="Arial" w:hAnsi="Arial" w:eastAsia="Arial" w:cs="Arial"/>
          <w:b/>
          <w:color w:val="000000"/>
          <w:vertAlign w:val="superscript"/>
        </w:rPr>
        <w:t>1</w:t>
      </w:r>
      <w:r>
        <w:rPr>
          <w:rFonts w:ascii="Arial" w:hAnsi="Arial" w:eastAsia="Arial" w:cs="Arial"/>
          <w:b/>
          <w:color w:val="000000"/>
        </w:rPr>
        <w:t>*, Gustavo de O. Gurgel Santos</w:t>
      </w:r>
      <w:r>
        <w:rPr>
          <w:rFonts w:ascii="Arial" w:hAnsi="Arial" w:eastAsia="Arial" w:cs="Arial"/>
          <w:b/>
          <w:color w:val="000000"/>
          <w:vertAlign w:val="superscript"/>
        </w:rPr>
        <w:t>1</w:t>
      </w:r>
      <w:r>
        <w:rPr>
          <w:rFonts w:ascii="Arial" w:hAnsi="Arial" w:eastAsia="Arial" w:cs="Arial"/>
          <w:b/>
          <w:color w:val="000000"/>
        </w:rPr>
        <w:t xml:space="preserve"> e Ronaldo Alves Martins</w:t>
      </w:r>
      <w:r>
        <w:rPr>
          <w:rFonts w:ascii="Arial" w:hAnsi="Arial" w:eastAsia="Arial" w:cs="Arial"/>
          <w:b/>
          <w:color w:val="000000"/>
          <w:vertAlign w:val="superscript"/>
        </w:rPr>
        <w:t>2</w:t>
      </w:r>
      <w:r>
        <w:rPr>
          <w:rFonts w:ascii="Arial" w:hAnsi="Arial" w:eastAsia="Arial" w:cs="Arial"/>
          <w:b/>
          <w:color w:val="000000"/>
        </w:rPr>
        <w:t>.</w:t>
      </w:r>
      <w:r>
        <w:rPr>
          <w:rFonts w:ascii="Arial" w:hAnsi="Arial" w:eastAsia="Arial" w:cs="Arial"/>
          <w:b/>
          <w:color w:val="000000"/>
        </w:rPr>
      </w:r>
    </w:p>
    <w:p>
      <w:pPr>
        <w:spacing/>
        <w:jc w:val="center"/>
        <w:rPr>
          <w:rFonts w:ascii="Arial" w:hAnsi="Arial" w:eastAsia="Arial" w:cs="Arial"/>
          <w:i/>
          <w:color w:val="000000"/>
          <w:sz w:val="14"/>
          <w:szCs w:val="14"/>
        </w:rPr>
      </w:pPr>
      <w:r>
        <w:rPr>
          <w:rFonts w:ascii="Arial" w:hAnsi="Arial" w:eastAsia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hAnsi="Arial" w:eastAsia="Arial" w:cs="Arial"/>
          <w:i/>
          <w:color w:val="000000"/>
          <w:sz w:val="14"/>
          <w:szCs w:val="14"/>
        </w:rPr>
        <w:t>Graduando em Medicina Veterinária – UNA Bom Despacho – Bom Despacho/MG – Brasil – *Contato:vinsilveiracarneiro@gmail.com</w:t>
      </w:r>
    </w:p>
    <w:p>
      <w:pPr>
        <w:tabs defTabSz="720">
          <w:tab w:val="center" w:pos="5528" w:leader="none"/>
        </w:tabs>
        <w:rPr>
          <w:rFonts w:ascii="Arial" w:hAnsi="Arial" w:eastAsia="Arial" w:cs="Arial"/>
          <w:i/>
          <w:color w:val="000000"/>
          <w:sz w:val="14"/>
          <w:szCs w:val="14"/>
        </w:rPr>
      </w:pPr>
      <w:r>
        <w:rPr>
          <w:rFonts w:ascii="Arial" w:hAnsi="Arial" w:eastAsia="Arial" w:cs="Arial"/>
          <w:i/>
          <w:color w:val="000000"/>
          <w:sz w:val="14"/>
          <w:szCs w:val="14"/>
          <w:vertAlign w:val="superscript"/>
        </w:rPr>
        <w:tab/>
        <w:t>2</w:t>
      </w:r>
      <w:r>
        <w:rPr>
          <w:rFonts w:ascii="Arial" w:hAnsi="Arial" w:eastAsia="Arial" w:cs="Arial"/>
          <w:i/>
          <w:color w:val="000000"/>
          <w:sz w:val="14"/>
          <w:szCs w:val="14"/>
        </w:rPr>
        <w:t>Professor de Medicina Veterinária – UNA Bom Despacho – Bom Despacho/MG – Brasil</w:t>
      </w:r>
    </w:p>
    <w:p>
      <w:pPr>
        <w:spacing w:after="96"/>
        <w:jc w:val="center"/>
        <w:rPr>
          <w:rFonts w:ascii="Arial" w:hAnsi="Arial" w:eastAsia="Arial" w:cs="Arial"/>
          <w:i/>
          <w:color w:val="000000"/>
          <w:vertAlign w:val="superscript"/>
        </w:rPr>
      </w:pPr>
      <w:r/>
      <w:bookmarkStart w:id="0" w:name="_heading=h.gjdgxs"/>
      <w:bookmarkEnd w:id="0"/>
      <w:r/>
      <w:r>
        <w:rPr>
          <w:rFonts w:ascii="Arial" w:hAnsi="Arial" w:eastAsia="Arial" w:cs="Arial"/>
          <w:i/>
          <w:color w:val="000000"/>
          <w:vertAlign w:val="superscript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7"/>
          <w:footerReference w:type="default" r:id="rId8"/>
          <w:type w:val="nextPage"/>
          <w:pgSz w:h="16838" w:w="11906"/>
          <w:pgMar w:left="426" w:top="1560" w:right="424" w:bottom="720"/>
          <w:paperSrc w:first="0" w:other="0" a="0" b="0"/>
          <w:pgNumType w:fmt="decimal" w:start="1"/>
          <w:tmGutter w:val="3"/>
          <w:mirrorMargins w:val="0"/>
          <w:tmSection w:h="-1">
            <w:tmHeader w:id="0" w:h="0" edge="720" text="0">
              <w:shd w:val="none"/>
            </w:tmHeader>
            <w:tmFooter w:id="0" w:h="0" edge="72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40" w:after="40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INTRODUÇÃO</w:t>
      </w:r>
    </w:p>
    <w:p>
      <w:pPr>
        <w:spacing w:before="40" w:after="40"/>
        <w:jc w:val="both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  <w:t>A Toxocaríase Humana (TH) é uma verminose zoonótica bastante negligenciada que acomete, principalmente, populações em áreas de risco e/ou de classe econômica mais baixa de regiões tropicais e subtropicais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2,6,7</w:t>
      </w:r>
      <w:r>
        <w:rPr>
          <w:rFonts w:ascii="Arial" w:hAnsi="Arial" w:eastAsia="Arial" w:cs="Arial"/>
          <w:kern w:val="1"/>
          <w:sz w:val="18"/>
          <w:szCs w:val="18"/>
        </w:rPr>
        <w:t xml:space="preserve">. O verme causador é o nematoda do gênero </w:t>
      </w:r>
      <w:r>
        <w:rPr>
          <w:rFonts w:ascii="Arial" w:hAnsi="Arial" w:eastAsia="Arial" w:cs="Arial"/>
          <w:i/>
          <w:iCs/>
          <w:kern w:val="1"/>
          <w:sz w:val="18"/>
          <w:szCs w:val="18"/>
        </w:rPr>
        <w:t>Toxocara spp</w:t>
      </w:r>
      <w:r>
        <w:rPr>
          <w:rFonts w:ascii="Arial" w:hAnsi="Arial" w:eastAsia="Arial" w:cs="Arial"/>
          <w:kern w:val="1"/>
          <w:sz w:val="18"/>
          <w:szCs w:val="18"/>
        </w:rPr>
        <w:t>. cuja infecção pode resultar em problemas hepáticos, visuais e neurológicos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2,7</w:t>
      </w:r>
      <w:r>
        <w:rPr>
          <w:rFonts w:ascii="Arial" w:hAnsi="Arial" w:eastAsia="Arial" w:cs="Arial"/>
          <w:kern w:val="1"/>
          <w:sz w:val="18"/>
          <w:szCs w:val="18"/>
        </w:rPr>
        <w:t xml:space="preserve">. As duas espécies mais comuns na TH são o </w:t>
      </w:r>
      <w:r>
        <w:rPr>
          <w:rFonts w:ascii="Arial" w:hAnsi="Arial" w:eastAsia="Arial" w:cs="Arial"/>
          <w:i/>
          <w:iCs/>
          <w:kern w:val="1"/>
          <w:sz w:val="18"/>
          <w:szCs w:val="18"/>
        </w:rPr>
        <w:t>Toxocara canis</w:t>
      </w:r>
      <w:r>
        <w:rPr>
          <w:rFonts w:ascii="Arial" w:hAnsi="Arial" w:eastAsia="Arial" w:cs="Arial"/>
          <w:kern w:val="1"/>
          <w:sz w:val="18"/>
          <w:szCs w:val="18"/>
        </w:rPr>
        <w:t xml:space="preserve"> e o </w:t>
      </w:r>
      <w:r>
        <w:rPr>
          <w:rFonts w:ascii="Arial" w:hAnsi="Arial" w:eastAsia="Arial" w:cs="Arial"/>
          <w:i/>
          <w:iCs/>
          <w:kern w:val="1"/>
          <w:sz w:val="18"/>
          <w:szCs w:val="18"/>
        </w:rPr>
        <w:t>Toxocara cati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2,6,7</w:t>
      </w:r>
      <w:r>
        <w:rPr>
          <w:rFonts w:ascii="Arial" w:hAnsi="Arial" w:eastAsia="Arial" w:cs="Arial"/>
          <w:kern w:val="1"/>
          <w:sz w:val="18"/>
          <w:szCs w:val="18"/>
        </w:rPr>
        <w:t>. Os hospedeiros definitivos (HD) destes vermes são os canídeos e os felídeos, enquanto que os hospedeiros intermediários (HI) são, principalmente, coelhos e aves. Já o ser humano, é hospedeiro acidental deste verme, pois se infecta mesmo não sendo integrante de seu ciclo biológico. Por isso é que a larva faz uma migração errática pelos tecidos do indivíduo, onde se encista e causa reações inflamatórias com formação de granulomas e abcessos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2,6,7</w:t>
      </w:r>
      <w:r>
        <w:rPr>
          <w:rFonts w:ascii="Arial" w:hAnsi="Arial" w:eastAsia="Arial" w:cs="Arial"/>
          <w:kern w:val="1"/>
          <w:sz w:val="18"/>
          <w:szCs w:val="18"/>
        </w:rPr>
        <w:t>. As principais complicações características da doença são a Toxocaríase Visceral (TV), em que há encistamento da larva em órgãos vitais, e a Toxocaríase Ocular (TO), quando a larva se encista dentro do olho da pessoa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2,6,7</w:t>
      </w:r>
      <w:r>
        <w:rPr>
          <w:rFonts w:ascii="Arial" w:hAnsi="Arial" w:eastAsia="Arial" w:cs="Arial"/>
          <w:kern w:val="1"/>
          <w:sz w:val="18"/>
          <w:szCs w:val="18"/>
        </w:rPr>
        <w:t>. Esta revisão buscou elucidar a importância zoonótica da Toxocaríase Humana e descrever as principais complicações que a infecção pode causar no ser humano.</w:t>
      </w: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ascii="Arial" w:hAnsi="Arial" w:eastAsia="Arial" w:cs="Arial"/>
          <w:color w:val="000000"/>
          <w:sz w:val="18"/>
          <w:szCs w:val="18"/>
        </w:rPr>
      </w:r>
    </w:p>
    <w:p>
      <w:pPr>
        <w:spacing w:before="40" w:after="40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MATERIAL E MÉTODOS</w:t>
      </w:r>
      <w:r>
        <w:rPr>
          <w:color w:val="000000"/>
          <w:sz w:val="24"/>
          <w:szCs w:val="24"/>
        </w:rPr>
      </w:r>
    </w:p>
    <w:p>
      <w:pPr>
        <w:spacing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Selecionou-se para esta revisão, nos dias 02 e 03 de abril de 2021, artigos da plataforma digital PubMed, publicados entre 2015 e 2021, e um trabalho do ano de 2003. As palavras chaves são fígado, olho, Toxocara, toxocaríase humana e zoonose.</w:t>
      </w:r>
    </w:p>
    <w:p>
      <w:pPr>
        <w:spacing w:before="40" w:after="40"/>
        <w:jc w:val="both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</w:r>
    </w:p>
    <w:p>
      <w:pPr>
        <w:spacing w:before="40" w:after="40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RE</w:t>
      </w:r>
      <w:r>
        <w:rPr>
          <w:rFonts w:ascii="Arial" w:hAnsi="Arial" w:eastAsia="Arial" w:cs="Arial"/>
          <w:b/>
          <w:sz w:val="18"/>
          <w:szCs w:val="18"/>
        </w:rPr>
        <w:t>VISÃO DE LITERATURA</w:t>
      </w:r>
      <w:r>
        <w:rPr>
          <w:rFonts w:ascii="Arial" w:hAnsi="Arial" w:eastAsia="Arial" w:cs="Arial"/>
          <w:b/>
          <w:color w:val="000000"/>
          <w:sz w:val="18"/>
          <w:szCs w:val="18"/>
        </w:rPr>
      </w:r>
    </w:p>
    <w:p>
      <w:pPr>
        <w:spacing w:before="40" w:after="40"/>
        <w:jc w:val="both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  <w:t xml:space="preserve">O ciclo de vida dos vermes </w:t>
      </w:r>
      <w:r>
        <w:rPr>
          <w:rFonts w:ascii="Arial" w:hAnsi="Arial" w:eastAsia="Arial" w:cs="Arial"/>
          <w:i/>
          <w:iCs/>
          <w:kern w:val="1"/>
          <w:sz w:val="18"/>
          <w:szCs w:val="18"/>
        </w:rPr>
        <w:t>Toxocara spp</w:t>
      </w:r>
      <w:r>
        <w:rPr>
          <w:rFonts w:ascii="Arial" w:hAnsi="Arial" w:eastAsia="Arial" w:cs="Arial"/>
          <w:kern w:val="1"/>
          <w:sz w:val="18"/>
          <w:szCs w:val="18"/>
        </w:rPr>
        <w:t>. se inicia na ingestão, pelo hospedeiro definitivo (HD), de alimentos ou água contaminada por ovos embrionados, bem como da carne de hospedeiros intermediários (HI) contaminada por cistos viáveis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4,7</w:t>
      </w:r>
      <w:r>
        <w:rPr>
          <w:rFonts w:ascii="Arial" w:hAnsi="Arial" w:eastAsia="Arial" w:cs="Arial"/>
          <w:kern w:val="1"/>
          <w:sz w:val="18"/>
          <w:szCs w:val="18"/>
        </w:rPr>
        <w:t>. Os ovos então eclodem no intestino do HD e liberam as larvas que se tornarão adultas e repetirão o ciclo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2,3,7</w:t>
      </w:r>
      <w:r>
        <w:rPr>
          <w:rFonts w:ascii="Arial" w:hAnsi="Arial" w:eastAsia="Arial" w:cs="Arial"/>
          <w:kern w:val="1"/>
          <w:sz w:val="18"/>
          <w:szCs w:val="18"/>
        </w:rPr>
        <w:t>. A TH acontece quando a pessoa ingere ovos embrionados presentes em solo, água ou alimentos contaminados, ou quando ingere carne malcozida de HI contaminada com cistos viáveis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2,7</w:t>
      </w:r>
      <w:r>
        <w:rPr>
          <w:rFonts w:ascii="Arial" w:hAnsi="Arial" w:eastAsia="Arial" w:cs="Arial"/>
          <w:kern w:val="1"/>
          <w:sz w:val="18"/>
          <w:szCs w:val="18"/>
        </w:rPr>
        <w:t>. Após a eclosão do ovo no intestino, a larva inicia a migração errática atravessando a parede intestinal e se disseminando pelo corpo através da circulação porta hepática. Este fenômeno resulta no quadro de TV, que pode ou não resultar no quadro de TO (Figura 1)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2,3,5,8</w:t>
      </w:r>
      <w:r>
        <w:rPr>
          <w:rFonts w:ascii="Arial" w:hAnsi="Arial" w:eastAsia="Arial" w:cs="Arial"/>
          <w:kern w:val="1"/>
          <w:sz w:val="18"/>
          <w:szCs w:val="18"/>
        </w:rPr>
        <w:t>. Como o verme não é adaptado ao organismo humano, a larva morre ao se encistar e ter seu desenvolvimento interrompido em algum órgão, desencadeando respostas inflamatórias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5,6</w:t>
      </w:r>
      <w:r>
        <w:rPr>
          <w:rFonts w:ascii="Arial" w:hAnsi="Arial" w:eastAsia="Arial" w:cs="Arial"/>
          <w:kern w:val="1"/>
          <w:sz w:val="18"/>
          <w:szCs w:val="18"/>
        </w:rPr>
        <w:t xml:space="preserve">. </w:t>
      </w: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both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center"/>
        <w:widowControl w:val="0"/>
        <w:rPr>
          <w:rFonts w:ascii="Arial" w:hAnsi="Arial" w:eastAsia="Arial" w:cs="Arial"/>
          <w:kern w:val="1"/>
          <w:sz w:val="18"/>
          <w:szCs w:val="18"/>
        </w:rPr>
      </w:pPr>
      <w:r/>
      <w:r>
        <w:rPr>
          <w:noProof/>
        </w:rPr>
        <w:drawing>
          <wp:inline distT="0" distB="0" distL="0" distR="0">
            <wp:extent cx="2118360" cy="1146175"/>
            <wp:effectExtent l="0" t="0" r="0" b="0"/>
            <wp:docPr id="1" name="Imagem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4"/>
                    <pic:cNvPicPr>
                      <a:extLst>
                        <a:ext uri="smNativeData">
                          <sm:smNativeData xmlns:sm="smNativeData" val="SMDATA_14_v/2b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gNAAANBwAACA0AAA0HAAAAAAAACQAAAAQAAAAAAAAADAAAABAAAAAAAAAAAAAAAAAAAAAAAAAAHgAAAGgAAAAAAAAAAAAAAAAAAAAAAAAAAAAAABAnAAAQJwAAAAAAAAAAAAAAAAAAAAAAAAAAAAAAAAAAAAAAAAAAAAAUAAAAAAAAAMDA/wAAAAAAZAAAADIAAAAAAAAAZAAAAAAAAAB/f38ACgAAACEAAABAAAAAPAAAAA4AAAAHoAAAAAAAAAAAAAABAAAAAAAAAAAAAAABAAAAAAAAAAAAAAAIDQAADQcAAAAAAAAAAAAAAAAAACgAAAAIAAAAAQAAAAEAAAA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146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center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b/>
          <w:bCs/>
          <w:sz w:val="18"/>
          <w:szCs w:val="18"/>
        </w:rPr>
        <w:t>Figura 1:</w:t>
      </w:r>
      <w:r>
        <w:rPr>
          <w:rFonts w:ascii="Arial" w:hAnsi="Arial" w:eastAsia="Arial" w:cs="Arial"/>
          <w:sz w:val="18"/>
          <w:szCs w:val="18"/>
        </w:rPr>
        <w:t xml:space="preserve"> Ciclo errático do verme no homem (Adaptado)</w:t>
      </w:r>
      <w:r>
        <w:rPr>
          <w:rFonts w:ascii="Arial" w:hAnsi="Arial" w:eastAsia="Arial" w:cs="Arial"/>
          <w:sz w:val="18"/>
          <w:szCs w:val="18"/>
          <w:vertAlign w:val="superscript"/>
        </w:rPr>
        <w:t>3</w:t>
      </w:r>
      <w:r>
        <w:rPr>
          <w:rFonts w:ascii="Arial" w:hAnsi="Arial" w:eastAsia="Arial" w:cs="Arial"/>
          <w:sz w:val="18"/>
          <w:szCs w:val="18"/>
        </w:rPr>
        <w:t>.</w:t>
      </w:r>
      <w:r>
        <w:rPr>
          <w:rFonts w:ascii="Arial" w:hAnsi="Arial" w:eastAsia="Arial" w:cs="Arial"/>
          <w:sz w:val="18"/>
          <w:szCs w:val="18"/>
        </w:rPr>
      </w:r>
    </w:p>
    <w:p>
      <w:pPr>
        <w:spacing w:before="40" w:after="4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</w:p>
    <w:p>
      <w:pPr>
        <w:spacing w:before="40" w:after="40"/>
        <w:jc w:val="both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  <w:t>Acredita-se que crianças entre 2 e 7 anos têm mais chances de se infectarem via solo e a desenvolverem o quadro de TV, devido à natural falta de higiene e ao hábito de brincar em locais com terra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5,6</w:t>
      </w:r>
      <w:r>
        <w:rPr>
          <w:rFonts w:ascii="Arial" w:hAnsi="Arial" w:eastAsia="Arial" w:cs="Arial"/>
          <w:kern w:val="1"/>
          <w:sz w:val="18"/>
          <w:szCs w:val="18"/>
        </w:rPr>
        <w:t>. A TV afeta principalmente o fígado, e com menos frequência, os pulmões e o sistema nervoso central, sendo que os sintomas, quando presentes, são inespecíficos, e remetem a episódios de febre, fadiga, e anorexia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3,5,6</w:t>
      </w:r>
      <w:r>
        <w:rPr>
          <w:rFonts w:ascii="Arial" w:hAnsi="Arial" w:eastAsia="Arial" w:cs="Arial"/>
          <w:kern w:val="1"/>
          <w:sz w:val="18"/>
          <w:szCs w:val="18"/>
        </w:rPr>
        <w:t>. Sintomas como tosse, dispneia leve, respiração com chiado e pneumonites podem indicar presença de larvas nos pulmões, enquanto dores abdominais e hepatites com lesões granulomatosas, podem indicar larvas no fígado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2,5,6</w:t>
      </w:r>
      <w:r>
        <w:rPr>
          <w:rFonts w:ascii="Arial" w:hAnsi="Arial" w:eastAsia="Arial" w:cs="Arial"/>
          <w:kern w:val="1"/>
          <w:sz w:val="18"/>
          <w:szCs w:val="18"/>
        </w:rPr>
        <w:t>. Episódios de convulsão, mielites, encefalites e confusão mental, podem sugerir acometimento neurológico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2,5</w:t>
      </w:r>
      <w:r>
        <w:rPr>
          <w:rFonts w:ascii="Arial" w:hAnsi="Arial" w:eastAsia="Arial" w:cs="Arial"/>
          <w:kern w:val="1"/>
          <w:sz w:val="18"/>
          <w:szCs w:val="18"/>
        </w:rPr>
        <w:t>.</w:t>
      </w:r>
      <w:r>
        <w:rPr>
          <w:rFonts w:eastAsia="SimSun"/>
          <w:kern w:val="1"/>
        </w:rPr>
        <w:t xml:space="preserve"> </w:t>
      </w:r>
      <w:r>
        <w:rPr>
          <w:rFonts w:ascii="Arial" w:hAnsi="Arial" w:eastAsia="Arial" w:cs="Arial"/>
          <w:kern w:val="1"/>
          <w:sz w:val="18"/>
          <w:szCs w:val="18"/>
        </w:rPr>
        <w:t xml:space="preserve">Já a TO, aparentemente acomete mais crianças entre 10 e 16 anos, e ocorre quando a larva do </w:t>
      </w:r>
      <w:r>
        <w:rPr>
          <w:rFonts w:ascii="Arial" w:hAnsi="Arial" w:eastAsia="Arial" w:cs="Arial"/>
          <w:i/>
          <w:iCs/>
          <w:kern w:val="1"/>
          <w:sz w:val="18"/>
          <w:szCs w:val="18"/>
        </w:rPr>
        <w:t>Toxocara</w:t>
      </w:r>
      <w:r>
        <w:rPr>
          <w:rFonts w:ascii="Arial" w:hAnsi="Arial" w:eastAsia="Arial" w:cs="Arial"/>
          <w:i/>
          <w:iCs/>
          <w:kern w:val="1"/>
          <w:sz w:val="18"/>
          <w:szCs w:val="18"/>
        </w:rPr>
        <w:t xml:space="preserve"> spp.</w:t>
      </w:r>
      <w:r>
        <w:rPr>
          <w:rFonts w:ascii="Arial" w:hAnsi="Arial" w:eastAsia="Arial" w:cs="Arial"/>
          <w:kern w:val="1"/>
          <w:sz w:val="18"/>
          <w:szCs w:val="18"/>
        </w:rPr>
        <w:t xml:space="preserve"> chega ao olho e penetra em sua câmara posterior, causando reações inflamatórias e até cicatrizes permanentes (Figura 2)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8</w:t>
      </w:r>
      <w:r>
        <w:rPr>
          <w:rFonts w:ascii="Arial" w:hAnsi="Arial" w:eastAsia="Arial" w:cs="Arial"/>
          <w:kern w:val="1"/>
          <w:sz w:val="18"/>
          <w:szCs w:val="18"/>
        </w:rPr>
        <w:t>.</w:t>
      </w: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both"/>
        <w:widowControl w:val="0"/>
        <w:rPr>
          <w:rFonts w:eastAsia="SimSun"/>
          <w:kern w:val="1"/>
        </w:rPr>
      </w:pPr>
      <w:r>
        <w:rPr>
          <w:rFonts w:eastAsia="SimSun"/>
          <w:kern w:val="1"/>
        </w:rPr>
      </w:r>
    </w:p>
    <w:p>
      <w:pPr>
        <w:spacing w:before="40" w:after="40"/>
        <w:jc w:val="center"/>
        <w:widowControl w:val="0"/>
        <w:rPr>
          <w:rFonts w:eastAsia="SimSun"/>
          <w:kern w:val="1"/>
        </w:rPr>
      </w:pPr>
      <w:r/>
      <w:r>
        <w:rPr>
          <w:noProof/>
        </w:rPr>
        <w:drawing>
          <wp:inline distT="0" distB="0" distL="0" distR="0">
            <wp:extent cx="1013460" cy="726440"/>
            <wp:effectExtent l="0" t="0" r="0" b="0"/>
            <wp:docPr id="2" name="Imagem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5"/>
                    <pic:cNvPicPr>
                      <a:extLst>
                        <a:ext uri="smNativeData">
                          <sm:smNativeData xmlns:sm="smNativeData" val="SMDATA_14_v/2b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DwGAAB4BAAAPAYAAHgEAAAAAAAACQAAAAQAAAAAAAAADAAAABAAAAAAAAAAAAAAAAAAAAAAAAAAHgAAAGgAAAAAAAAAAAAAAAAAAAAAAAAAAAAAABAnAAAQJwAAAAAAAAAAAAAAAAAAAAAAAAAAAAAAAAAAAAAAAAAAAAAUAAAAAAAAAMDA/wAAAAAAZAAAADIAAAAAAAAAZAAAAAAAAAB/f38ACgAAACEAAABAAAAAPAAAABQAAAAHoAAAAAAAAAAAAAABAAAAAAAAAAAAAAABAAAAAAAAAAAAAAA8BgAAeAQAAAAAAAAAAAAAAAAAACgAAAAIAAAAAQAAAAEAAAA=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72644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eastAsia="SimSun"/>
          <w:kern w:val="1"/>
        </w:rPr>
      </w:r>
    </w:p>
    <w:p>
      <w:pPr>
        <w:spacing w:before="40" w:after="40"/>
        <w:jc w:val="both"/>
        <w:widowControl w:val="0"/>
        <w:rPr>
          <w:rFonts w:eastAsia="SimSun"/>
          <w:kern w:val="1"/>
        </w:rPr>
      </w:pPr>
      <w:r>
        <w:rPr>
          <w:rFonts w:eastAsia="SimSun"/>
          <w:kern w:val="1"/>
        </w:rPr>
      </w:r>
    </w:p>
    <w:p>
      <w:pPr>
        <w:spacing w:before="40" w:after="40"/>
        <w:jc w:val="center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b/>
          <w:bCs/>
          <w:kern w:val="1"/>
          <w:sz w:val="18"/>
          <w:szCs w:val="18"/>
        </w:rPr>
        <w:t>Figura 2:</w:t>
      </w:r>
      <w:r>
        <w:rPr>
          <w:rFonts w:ascii="Arial" w:hAnsi="Arial" w:eastAsia="Arial" w:cs="Arial"/>
          <w:kern w:val="1"/>
          <w:sz w:val="18"/>
          <w:szCs w:val="18"/>
        </w:rPr>
        <w:t xml:space="preserve"> Parte da retina de uma criança que sofre de LMO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3</w:t>
      </w:r>
      <w:r>
        <w:rPr>
          <w:rFonts w:ascii="Arial" w:hAnsi="Arial" w:eastAsia="Arial" w:cs="Arial"/>
          <w:kern w:val="1"/>
          <w:sz w:val="18"/>
          <w:szCs w:val="18"/>
        </w:rPr>
        <w:t>.</w:t>
      </w: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center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both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  <w:t>Na maioria dos casos a TO se apresenta em apenas um dos olhos, e os principais sintomas são perda de visão e visão embaçada, sendo que pacientes pediátricos podem ainda apresentar sinais como leucocoria, estrabismo, fotofobia, dor e vermelhidão dos olhos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2,8</w:t>
      </w:r>
      <w:r>
        <w:rPr>
          <w:rFonts w:ascii="Arial" w:hAnsi="Arial" w:eastAsia="Arial" w:cs="Arial"/>
          <w:kern w:val="1"/>
          <w:sz w:val="18"/>
          <w:szCs w:val="18"/>
        </w:rPr>
        <w:t>. Também podem ocorrer opacidades vítreas, lesões intrarretinianas branco-amareladas no disco óptico com papiledema, verme intraocular vivo, papilite e descolamento retinal tracional e neurorretinite subaguda unilateral difusa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2,8</w:t>
      </w:r>
      <w:r>
        <w:rPr>
          <w:rFonts w:ascii="Arial" w:hAnsi="Arial" w:eastAsia="Arial" w:cs="Arial"/>
          <w:kern w:val="1"/>
          <w:sz w:val="18"/>
          <w:szCs w:val="18"/>
        </w:rPr>
        <w:t xml:space="preserve">. Sem sinais patognomônicos, é preciso avaliar sinais sugestivos da infecção por </w:t>
      </w:r>
      <w:r>
        <w:rPr>
          <w:rFonts w:ascii="Arial" w:hAnsi="Arial" w:eastAsia="Arial" w:cs="Arial"/>
          <w:i/>
          <w:iCs/>
          <w:kern w:val="1"/>
          <w:sz w:val="18"/>
          <w:szCs w:val="18"/>
        </w:rPr>
        <w:t>Toxocara spp.</w:t>
      </w:r>
      <w:r>
        <w:rPr>
          <w:rFonts w:ascii="Arial" w:hAnsi="Arial" w:eastAsia="Arial" w:cs="Arial"/>
          <w:kern w:val="1"/>
          <w:sz w:val="18"/>
          <w:szCs w:val="18"/>
        </w:rPr>
        <w:t>, como granuloma em polo posterior, granuloma periférico ou subretinal e massa granulomatosa no olho, bem como descolamento da retina, vitrite e uveíte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2,8</w:t>
      </w:r>
      <w:r>
        <w:rPr>
          <w:rFonts w:ascii="Arial" w:hAnsi="Arial" w:eastAsia="Arial" w:cs="Arial"/>
          <w:kern w:val="1"/>
          <w:sz w:val="18"/>
          <w:szCs w:val="18"/>
        </w:rPr>
        <w:t>. O grau de acometimento visual vai depender da localização das larvas, do grau de eosinofilia e da resposta granulomatosa/fibrótica envolvida, heterotopia e/ou descolamento da mácula ocular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2</w:t>
      </w:r>
      <w:r>
        <w:rPr>
          <w:rFonts w:ascii="Arial" w:hAnsi="Arial" w:eastAsia="Arial" w:cs="Arial"/>
          <w:kern w:val="1"/>
          <w:sz w:val="18"/>
          <w:szCs w:val="18"/>
        </w:rPr>
        <w:t>. A TH é considerada uma das infecções helmínticas mais comuns em seres humanos, mas devido à inespecificidade clínica da doença, seu diagnóstico torna-se difícil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 xml:space="preserve"> </w:t>
      </w:r>
      <w:r>
        <w:rPr>
          <w:rFonts w:ascii="Arial" w:hAnsi="Arial" w:eastAsia="Arial" w:cs="Arial"/>
          <w:kern w:val="1"/>
          <w:sz w:val="18"/>
          <w:szCs w:val="18"/>
        </w:rPr>
        <w:t>e negligenciado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1,2,8</w:t>
      </w:r>
      <w:r>
        <w:rPr>
          <w:rFonts w:ascii="Arial" w:hAnsi="Arial" w:eastAsia="Arial" w:cs="Arial"/>
          <w:kern w:val="1"/>
          <w:sz w:val="18"/>
          <w:szCs w:val="18"/>
        </w:rPr>
        <w:t xml:space="preserve">. Desse modo, o diagnóstico de TH deve-se basear inicialmente pela suspeita, depois em evidências clínicas, exames de imagem e achados laboratoriais (como visualização de possíveis granulomas </w:t>
      </w:r>
      <w:r>
        <w:rPr>
          <w:rFonts w:ascii="Arial" w:hAnsi="Arial" w:eastAsia="Arial" w:cs="Arial"/>
          <w:kern w:val="1"/>
          <w:sz w:val="18"/>
          <w:szCs w:val="18"/>
        </w:rPr>
        <w:t>eosinofílicos</w:t>
      </w:r>
      <w:r>
        <w:rPr>
          <w:rFonts w:ascii="Arial" w:hAnsi="Arial" w:eastAsia="Arial" w:cs="Arial"/>
          <w:kern w:val="1"/>
          <w:sz w:val="18"/>
          <w:szCs w:val="18"/>
        </w:rPr>
        <w:t xml:space="preserve"> em torno de larvas), no histórico da pessoa e no exame clínico executado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1,2,8</w:t>
      </w:r>
      <w:r>
        <w:rPr>
          <w:rFonts w:ascii="Arial" w:hAnsi="Arial" w:eastAsia="Arial" w:cs="Arial"/>
          <w:kern w:val="1"/>
          <w:sz w:val="18"/>
          <w:szCs w:val="18"/>
        </w:rPr>
        <w:t>.</w:t>
      </w: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</w:p>
    <w:p>
      <w:pPr>
        <w:spacing w:before="40" w:after="40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CONSIDERAÇÕES FINAIS</w:t>
      </w:r>
    </w:p>
    <w:p>
      <w:pPr>
        <w:spacing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A TH é uma importante zoonose verminótica de regiões tropicais e subtropicais, negligenciada devido à alta inespecificidade de sinais. O verme </w:t>
      </w:r>
      <w:r>
        <w:rPr>
          <w:rFonts w:ascii="Arial" w:hAnsi="Arial" w:eastAsia="Arial" w:cs="Arial"/>
          <w:i/>
          <w:iCs/>
          <w:sz w:val="18"/>
          <w:szCs w:val="18"/>
        </w:rPr>
        <w:t>Toxocara spp.</w:t>
      </w:r>
      <w:r>
        <w:rPr>
          <w:rFonts w:ascii="Arial" w:hAnsi="Arial" w:eastAsia="Arial" w:cs="Arial"/>
          <w:sz w:val="18"/>
          <w:szCs w:val="18"/>
        </w:rPr>
        <w:t>, causador da doença, não completa seu ciclo em humanos, o que resulta em duas possíveis complicações: a TV, que afeta principalmente o fígado, e a TO, que afeta os olhos. O diagnóstico deve partir da suspeita, para então correlacionar os fatores de risco existentes com os achados clínicos e laboratoriais envolvidos. Diante disso, faz-se extremamente importante a atuação do médico veterinário no controle das verminoses de animais domésticos. Seu trabalho é a melhor forma de se evitar e controlar este tipo de zoonose, contribuindo com o bem-estar dos animais, com a manutenção da saúde das pessoas e com a saúde única de forma geral.</w:t>
      </w:r>
      <w:r>
        <w:rPr>
          <w:rFonts w:ascii="Arial" w:hAnsi="Arial" w:eastAsia="Arial" w:cs="Arial"/>
          <w:sz w:val="18"/>
          <w:szCs w:val="1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8" w:w="11906"/>
      <w:pgMar w:left="426" w:top="1560" w:right="424" w:bottom="720"/>
      <w:paperSrc w:first="0" w:other="0" a="0" b="0"/>
      <w:pgNumType w:fmt="decimal"/>
      <w:cols w:num="2" w:equalWidth="0" w:space="0">
        <w:col w:w="5326" w:space="402"/>
        <w:col w:w="5326"/>
      </w:cols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B060402020202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Georgia">
    <w:panose1 w:val="02040502050405020303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2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center"/>
      <w:tabs defTabSz="720">
        <w:tab w:val="center" w:pos="4252" w:leader="none"/>
        <w:tab w:val="right" w:pos="8504" w:leader="none"/>
      </w:tabs>
      <w:rPr>
        <w:rFonts w:ascii="Arial" w:hAnsi="Arial" w:eastAsia="Arial" w:cs="Arial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59265" behindDoc="0" locked="0" layoutInCell="0" hidden="0" allowOverlap="1">
          <wp:simplePos x="0" y="0"/>
          <wp:positionH relativeFrom="column">
            <wp:posOffset>6258560</wp:posOffset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0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2.png"/>
                  <pic:cNvPicPr>
                    <a:extLst>
                      <a:ext uri="smNativeData">
                        <sm:smNativeData xmlns:sm="smNativeData" val="SMDATA_14_v/2b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IAAAAAAAAAAAAAAAAgAAAIAmAAAAAAAAAgAAAC7///+wBAAAdQQAAAAAAAAqKAAA/g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eastAsia="Arial" w:cs="Arial"/>
        <w:b/>
        <w:color w:val="002060"/>
        <w:sz w:val="28"/>
        <w:szCs w:val="28"/>
      </w:rPr>
      <w:t xml:space="preserve">VIII Colóquio Técnico Científico de Saúde Única, </w:t>
    </w:r>
  </w:p>
  <w:p>
    <w:pPr>
      <w:spacing/>
      <w:jc w:val="center"/>
      <w:tabs defTabSz="720">
        <w:tab w:val="center" w:pos="5670" w:leader="none"/>
        <w:tab w:val="right" w:pos="11056" w:leader="none"/>
      </w:tabs>
      <w:rPr>
        <w:rFonts w:ascii="Arial" w:hAnsi="Arial" w:eastAsia="Arial" w:cs="Arial"/>
        <w:b/>
        <w:color w:val="002060"/>
        <w:sz w:val="16"/>
        <w:szCs w:val="16"/>
      </w:rPr>
    </w:pPr>
    <w:r>
      <w:rPr>
        <w:rFonts w:ascii="Arial" w:hAnsi="Arial" w:eastAsia="Arial" w:cs="Arial"/>
        <w:b/>
        <w:color w:val="002060"/>
        <w:sz w:val="28"/>
        <w:szCs w:val="28"/>
      </w:rPr>
      <w:t>Ciências Agrárias e Meio Ambiente</w:t>
    </w:r>
    <w:r>
      <w:rPr>
        <w:rFonts w:ascii="Arial" w:hAnsi="Arial" w:eastAsia="Arial" w:cs="Arial"/>
        <w:b/>
        <w:color w:val="002060"/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0" w:insDel="0" w:formatting="0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025"/>
  <w:tmFmtPref w:val="55065707"/>
  <w:tmCommentsPr>
    <w:tmCommentsPlace w:val="0"/>
    <w:tmCommentsWidth w:val="3119"/>
    <w:tmCommentsColor w:val="-1"/>
  </w:tmCommentsPr>
  <w:tmReviewPr>
    <w:tmReviewEnabled w:val="0"/>
    <w:tmReviewShow w:val="0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37612991" w:val="973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/>
      <w:jc w:val="both"/>
      <w:keepNext/>
      <w:outlineLvl w:val="2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eastAsia="Arial" w:cs="Arial"/>
      <w:b/>
      <w:sz w:val="18"/>
      <w:szCs w:val="18"/>
    </w:rPr>
  </w:style>
  <w:style w:type="paragraph" w:styleId="para4">
    <w:name w:val="heading 4"/>
    <w:qFormat/>
    <w:basedOn w:val="para0"/>
    <w:next w:val="para0"/>
    <w:pPr>
      <w:spacing w:before="40"/>
      <w:keepNext/>
      <w:outlineLvl w:val="3"/>
      <w:keepLines/>
    </w:pPr>
    <w:rPr>
      <w:rFonts w:ascii="Calibri" w:hAnsi="Calibri" w:eastAsia="Calibri" w:cs="Calibri"/>
      <w:i/>
      <w:color w:val="2f5496"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*"/>
    <w:qFormat/>
    <w:rPr>
      <w:lang w:val="pt-br" w:eastAsia="zh-cn" w:bidi="ar-sa"/>
    </w:rPr>
  </w:style>
  <w:style w:type="paragraph" w:styleId="para9" w:customStyle="1">
    <w:name w:val="Título 1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10" w:customStyle="1">
    <w:name w:val="Título 21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11" w:customStyle="1">
    <w:name w:val="Título 31"/>
    <w:qFormat/>
    <w:basedOn w:val="para0"/>
    <w:next w:val="para0"/>
    <w:pPr>
      <w:spacing/>
      <w:jc w:val="both"/>
      <w:keepNext/>
      <w:outlineLvl w:val="2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b/>
      <w:bCs/>
      <w:sz w:val="18"/>
      <w:szCs w:val="18"/>
    </w:rPr>
  </w:style>
  <w:style w:type="paragraph" w:styleId="para12" w:customStyle="1">
    <w:name w:val="Título 41"/>
    <w:qFormat/>
    <w:basedOn w:val="para0"/>
    <w:next w:val="para0"/>
    <w:pPr>
      <w:spacing w:before="40"/>
      <w:keepNext/>
      <w:outlineLvl w:val="3"/>
      <w:keepLines/>
    </w:pPr>
    <w:rPr>
      <w:rFonts w:ascii="Calibri Light" w:hAnsi="Calibri Light" w:eastAsia="Calibri Light"/>
      <w:i/>
      <w:iCs/>
      <w:color w:val="2f5496"/>
    </w:rPr>
  </w:style>
  <w:style w:type="paragraph" w:styleId="para13" w:customStyle="1">
    <w:name w:val="Título 51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14" w:customStyle="1">
    <w:name w:val="Título 61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15" w:customStyle="1">
    <w:name w:val="Título1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16" w:customStyle="1">
    <w:name w:val="Texto de comentário1"/>
    <w:qFormat/>
    <w:basedOn w:val="para0"/>
    <w:pPr>
      <w:spacing/>
      <w:jc w:val="center"/>
    </w:pPr>
    <w:rPr>
      <w:color w:val="ff0000"/>
    </w:rPr>
  </w:style>
  <w:style w:type="paragraph" w:styleId="para17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8">
    <w:name w:val="Body Text 2"/>
    <w:qFormat/>
    <w:basedOn w:val="para0"/>
    <w:rPr>
      <w:rFonts w:ascii="Arial" w:hAnsi="Arial" w:cs="Arial"/>
      <w:color w:val="000000"/>
      <w:sz w:val="18"/>
      <w:szCs w:val="18"/>
    </w:rPr>
  </w:style>
  <w:style w:type="paragraph" w:styleId="para19">
    <w:name w:val="Body Text Indent"/>
    <w:qFormat/>
    <w:basedOn w:val="para0"/>
    <w:pPr>
      <w:ind w:left="283"/>
      <w:spacing w:after="120"/>
    </w:pPr>
  </w:style>
  <w:style w:type="paragraph" w:styleId="para20">
    <w:name w:val="Footnote Text"/>
    <w:qFormat/>
    <w:basedOn w:val="para0"/>
  </w:style>
  <w:style w:type="paragraph" w:styleId="para21">
    <w:name w:val="Head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22">
    <w:name w:val="Foot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23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24">
    <w:name w:val="Normal (Web)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25" w:customStyle="1">
    <w:name w:val="Subtítulo1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26" w:customStyle="1">
    <w:name w:val="annotation text"/>
    <w:qFormat/>
    <w:basedOn w:val="para0"/>
  </w:style>
  <w:style w:type="paragraph" w:styleId="para27" w:customStyle="1">
    <w:name w:val="annotation subject"/>
    <w:qFormat/>
    <w:basedOn w:val="para26"/>
    <w:next w:val="para26"/>
    <w:rPr>
      <w:b/>
      <w:bCs/>
    </w:rPr>
  </w:style>
  <w:style w:type="paragraph" w:styleId="para28">
    <w:name w:val="Comment Text"/>
    <w:qFormat/>
    <w:basedOn w:val="para0"/>
  </w:style>
  <w:style w:type="paragraph" w:styleId="para29">
    <w:name w:val="Comment Subject"/>
    <w:qFormat/>
    <w:basedOn w:val="para28"/>
    <w:next w:val="para28"/>
    <w:rPr>
      <w:b/>
      <w:bCs/>
    </w:rPr>
  </w:style>
  <w:style w:type="character" w:styleId="char0" w:default="1">
    <w:name w:val="Default Paragraph Font"/>
  </w:style>
  <w:style w:type="character" w:styleId="char1" w:customStyle="1">
    <w:name w:val="Texto de comentário Char"/>
    <w:basedOn w:val="char0"/>
    <w:rPr>
      <w:rFonts w:ascii="Times New Roman" w:hAnsi="Times New Roman" w:eastAsia="Times New Roman" w:cs="Times New Roman"/>
      <w:color w:val="ff0000"/>
      <w:sz w:val="20"/>
      <w:szCs w:val="20"/>
    </w:rPr>
  </w:style>
  <w:style w:type="character" w:styleId="char2" w:customStyle="1">
    <w:name w:val="Ref. de comentário1"/>
    <w:basedOn w:val="char0"/>
    <w:rPr>
      <w:sz w:val="16"/>
      <w:szCs w:val="16"/>
    </w:rPr>
  </w:style>
  <w:style w:type="character" w:styleId="char3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4" w:customStyle="1">
    <w:name w:val="Corpo de texto 2 Char"/>
    <w:basedOn w:val="char0"/>
    <w:rPr>
      <w:rFonts w:ascii="Arial" w:hAnsi="Arial" w:eastAsia="Times New Roman" w:cs="Arial"/>
      <w:color w:val="000000"/>
      <w:sz w:val="18"/>
      <w:szCs w:val="18"/>
    </w:rPr>
  </w:style>
  <w:style w:type="character" w:styleId="char5" w:customStyle="1">
    <w:name w:val="Título 3 Char"/>
    <w:basedOn w:val="char0"/>
    <w:rPr>
      <w:rFonts w:ascii="Arial" w:hAnsi="Arial" w:eastAsia="Times New Roman" w:cs="Arial"/>
      <w:b/>
      <w:bCs/>
      <w:sz w:val="18"/>
      <w:szCs w:val="18"/>
    </w:rPr>
  </w:style>
  <w:style w:type="character" w:styleId="char6" w:customStyle="1">
    <w:name w:val="Título 4 Char"/>
    <w:basedOn w:val="char0"/>
    <w:rPr>
      <w:rFonts w:ascii="Calibri Light" w:hAnsi="Calibri Light" w:eastAsia="Calibri Light"/>
      <w:i/>
      <w:iCs/>
      <w:color w:val="2f5496"/>
      <w:sz w:val="20"/>
      <w:szCs w:val="20"/>
    </w:rPr>
  </w:style>
  <w:style w:type="character" w:styleId="char7" w:customStyle="1">
    <w:name w:val="Recuo de corpo de text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8" w:customStyle="1">
    <w:name w:val="Texto de nota de 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9">
    <w:name w:val="Footnote Reference"/>
    <w:basedOn w:val="char0"/>
    <w:rPr>
      <w:vertAlign w:val="superscript"/>
    </w:rPr>
  </w:style>
  <w:style w:type="character" w:styleId="char10" w:customStyle="1">
    <w:name w:val="Cabeçalh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1" w:customStyle="1">
    <w:name w:val="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2" w:customStyle="1">
    <w:name w:val="annotation reference"/>
    <w:basedOn w:val="char0"/>
    <w:rPr>
      <w:sz w:val="16"/>
      <w:szCs w:val="16"/>
    </w:rPr>
  </w:style>
  <w:style w:type="character" w:styleId="char13" w:customStyle="1">
    <w:name w:val="Texto de comentário Char1"/>
    <w:basedOn w:val="char0"/>
  </w:style>
  <w:style w:type="character" w:styleId="char14" w:customStyle="1">
    <w:name w:val="Assunto do comentário Char"/>
    <w:basedOn w:val="char13"/>
    <w:rPr>
      <w:b/>
      <w:bCs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NormalTable"/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/>
      <w:jc w:val="both"/>
      <w:keepNext/>
      <w:outlineLvl w:val="2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eastAsia="Arial" w:cs="Arial"/>
      <w:b/>
      <w:sz w:val="18"/>
      <w:szCs w:val="18"/>
    </w:rPr>
  </w:style>
  <w:style w:type="paragraph" w:styleId="para4">
    <w:name w:val="heading 4"/>
    <w:qFormat/>
    <w:basedOn w:val="para0"/>
    <w:next w:val="para0"/>
    <w:pPr>
      <w:spacing w:before="40"/>
      <w:keepNext/>
      <w:outlineLvl w:val="3"/>
      <w:keepLines/>
    </w:pPr>
    <w:rPr>
      <w:rFonts w:ascii="Calibri" w:hAnsi="Calibri" w:eastAsia="Calibri" w:cs="Calibri"/>
      <w:i/>
      <w:color w:val="2f5496"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*"/>
    <w:qFormat/>
    <w:rPr>
      <w:lang w:val="pt-br" w:eastAsia="zh-cn" w:bidi="ar-sa"/>
    </w:rPr>
  </w:style>
  <w:style w:type="paragraph" w:styleId="para9" w:customStyle="1">
    <w:name w:val="Título 1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10" w:customStyle="1">
    <w:name w:val="Título 21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11" w:customStyle="1">
    <w:name w:val="Título 31"/>
    <w:qFormat/>
    <w:basedOn w:val="para0"/>
    <w:next w:val="para0"/>
    <w:pPr>
      <w:spacing/>
      <w:jc w:val="both"/>
      <w:keepNext/>
      <w:outlineLvl w:val="2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b/>
      <w:bCs/>
      <w:sz w:val="18"/>
      <w:szCs w:val="18"/>
    </w:rPr>
  </w:style>
  <w:style w:type="paragraph" w:styleId="para12" w:customStyle="1">
    <w:name w:val="Título 41"/>
    <w:qFormat/>
    <w:basedOn w:val="para0"/>
    <w:next w:val="para0"/>
    <w:pPr>
      <w:spacing w:before="40"/>
      <w:keepNext/>
      <w:outlineLvl w:val="3"/>
      <w:keepLines/>
    </w:pPr>
    <w:rPr>
      <w:rFonts w:ascii="Calibri Light" w:hAnsi="Calibri Light" w:eastAsia="Calibri Light"/>
      <w:i/>
      <w:iCs/>
      <w:color w:val="2f5496"/>
    </w:rPr>
  </w:style>
  <w:style w:type="paragraph" w:styleId="para13" w:customStyle="1">
    <w:name w:val="Título 51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14" w:customStyle="1">
    <w:name w:val="Título 61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15" w:customStyle="1">
    <w:name w:val="Título1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16" w:customStyle="1">
    <w:name w:val="Texto de comentário1"/>
    <w:qFormat/>
    <w:basedOn w:val="para0"/>
    <w:pPr>
      <w:spacing/>
      <w:jc w:val="center"/>
    </w:pPr>
    <w:rPr>
      <w:color w:val="ff0000"/>
    </w:rPr>
  </w:style>
  <w:style w:type="paragraph" w:styleId="para17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8">
    <w:name w:val="Body Text 2"/>
    <w:qFormat/>
    <w:basedOn w:val="para0"/>
    <w:rPr>
      <w:rFonts w:ascii="Arial" w:hAnsi="Arial" w:cs="Arial"/>
      <w:color w:val="000000"/>
      <w:sz w:val="18"/>
      <w:szCs w:val="18"/>
    </w:rPr>
  </w:style>
  <w:style w:type="paragraph" w:styleId="para19">
    <w:name w:val="Body Text Indent"/>
    <w:qFormat/>
    <w:basedOn w:val="para0"/>
    <w:pPr>
      <w:ind w:left="283"/>
      <w:spacing w:after="120"/>
    </w:pPr>
  </w:style>
  <w:style w:type="paragraph" w:styleId="para20">
    <w:name w:val="Footnote Text"/>
    <w:qFormat/>
    <w:basedOn w:val="para0"/>
  </w:style>
  <w:style w:type="paragraph" w:styleId="para21">
    <w:name w:val="Head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22">
    <w:name w:val="Foot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23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24">
    <w:name w:val="Normal (Web)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25" w:customStyle="1">
    <w:name w:val="Subtítulo1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26" w:customStyle="1">
    <w:name w:val="annotation text"/>
    <w:qFormat/>
    <w:basedOn w:val="para0"/>
  </w:style>
  <w:style w:type="paragraph" w:styleId="para27" w:customStyle="1">
    <w:name w:val="annotation subject"/>
    <w:qFormat/>
    <w:basedOn w:val="para26"/>
    <w:next w:val="para26"/>
    <w:rPr>
      <w:b/>
      <w:bCs/>
    </w:rPr>
  </w:style>
  <w:style w:type="paragraph" w:styleId="para28">
    <w:name w:val="Comment Text"/>
    <w:qFormat/>
    <w:basedOn w:val="para0"/>
  </w:style>
  <w:style w:type="paragraph" w:styleId="para29">
    <w:name w:val="Comment Subject"/>
    <w:qFormat/>
    <w:basedOn w:val="para28"/>
    <w:next w:val="para28"/>
    <w:rPr>
      <w:b/>
      <w:bCs/>
    </w:rPr>
  </w:style>
  <w:style w:type="character" w:styleId="char0" w:default="1">
    <w:name w:val="Default Paragraph Font"/>
  </w:style>
  <w:style w:type="character" w:styleId="char1" w:customStyle="1">
    <w:name w:val="Texto de comentário Char"/>
    <w:basedOn w:val="char0"/>
    <w:rPr>
      <w:rFonts w:ascii="Times New Roman" w:hAnsi="Times New Roman" w:eastAsia="Times New Roman" w:cs="Times New Roman"/>
      <w:color w:val="ff0000"/>
      <w:sz w:val="20"/>
      <w:szCs w:val="20"/>
    </w:rPr>
  </w:style>
  <w:style w:type="character" w:styleId="char2" w:customStyle="1">
    <w:name w:val="Ref. de comentário1"/>
    <w:basedOn w:val="char0"/>
    <w:rPr>
      <w:sz w:val="16"/>
      <w:szCs w:val="16"/>
    </w:rPr>
  </w:style>
  <w:style w:type="character" w:styleId="char3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4" w:customStyle="1">
    <w:name w:val="Corpo de texto 2 Char"/>
    <w:basedOn w:val="char0"/>
    <w:rPr>
      <w:rFonts w:ascii="Arial" w:hAnsi="Arial" w:eastAsia="Times New Roman" w:cs="Arial"/>
      <w:color w:val="000000"/>
      <w:sz w:val="18"/>
      <w:szCs w:val="18"/>
    </w:rPr>
  </w:style>
  <w:style w:type="character" w:styleId="char5" w:customStyle="1">
    <w:name w:val="Título 3 Char"/>
    <w:basedOn w:val="char0"/>
    <w:rPr>
      <w:rFonts w:ascii="Arial" w:hAnsi="Arial" w:eastAsia="Times New Roman" w:cs="Arial"/>
      <w:b/>
      <w:bCs/>
      <w:sz w:val="18"/>
      <w:szCs w:val="18"/>
    </w:rPr>
  </w:style>
  <w:style w:type="character" w:styleId="char6" w:customStyle="1">
    <w:name w:val="Título 4 Char"/>
    <w:basedOn w:val="char0"/>
    <w:rPr>
      <w:rFonts w:ascii="Calibri Light" w:hAnsi="Calibri Light" w:eastAsia="Calibri Light"/>
      <w:i/>
      <w:iCs/>
      <w:color w:val="2f5496"/>
      <w:sz w:val="20"/>
      <w:szCs w:val="20"/>
    </w:rPr>
  </w:style>
  <w:style w:type="character" w:styleId="char7" w:customStyle="1">
    <w:name w:val="Recuo de corpo de text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8" w:customStyle="1">
    <w:name w:val="Texto de nota de 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9">
    <w:name w:val="Footnote Reference"/>
    <w:basedOn w:val="char0"/>
    <w:rPr>
      <w:vertAlign w:val="superscript"/>
    </w:rPr>
  </w:style>
  <w:style w:type="character" w:styleId="char10" w:customStyle="1">
    <w:name w:val="Cabeçalh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1" w:customStyle="1">
    <w:name w:val="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2" w:customStyle="1">
    <w:name w:val="annotation reference"/>
    <w:basedOn w:val="char0"/>
    <w:rPr>
      <w:sz w:val="16"/>
      <w:szCs w:val="16"/>
    </w:rPr>
  </w:style>
  <w:style w:type="character" w:styleId="char13" w:customStyle="1">
    <w:name w:val="Texto de comentário Char1"/>
    <w:basedOn w:val="char0"/>
  </w:style>
  <w:style w:type="character" w:styleId="char14" w:customStyle="1">
    <w:name w:val="Assunto do comentário Char"/>
    <w:basedOn w:val="char13"/>
    <w:rPr>
      <w:b/>
      <w:bCs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NormalTable"/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Gustavo Gurge</cp:lastModifiedBy>
  <cp:revision>4</cp:revision>
  <cp:lastPrinted>2021-09-13T01:02:00Z</cp:lastPrinted>
  <dcterms:created xsi:type="dcterms:W3CDTF">2021-11-09T21:14:00Z</dcterms:created>
  <dcterms:modified xsi:type="dcterms:W3CDTF">2021-11-22T20:29:51Z</dcterms:modified>
</cp:coreProperties>
</file>