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F3" w:rsidRDefault="00BA4190">
      <w:pPr>
        <w:spacing w:after="0" w:line="240" w:lineRule="auto"/>
        <w:jc w:val="center"/>
        <w:rPr>
          <w:b/>
          <w:color w:val="FFFFFF"/>
          <w:sz w:val="110"/>
          <w:szCs w:val="110"/>
        </w:rPr>
      </w:pPr>
      <w:r>
        <w:rPr>
          <w:noProof/>
          <w:color w:val="FFFFFF"/>
          <w:sz w:val="110"/>
          <w:szCs w:val="110"/>
          <w:lang w:eastAsia="pt-BR"/>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-899795</wp:posOffset>
            </wp:positionV>
            <wp:extent cx="7562850" cy="13440410"/>
            <wp:effectExtent l="0" t="0" r="6350" b="21590"/>
            <wp:wrapNone/>
            <wp:docPr id="1" name="Picture 3" descr="kit_stories_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kit_stories_01 (1)"/>
                    <pic:cNvPicPr>
                      <a:picLocks noChangeAspect="1"/>
                    </pic:cNvPicPr>
                  </pic:nvPicPr>
                  <pic:blipFill>
                    <a:blip r:embed="rId7"/>
                    <a:stretch>
                      <a:fillRect/>
                    </a:stretch>
                  </pic:blipFill>
                  <pic:spPr>
                    <a:xfrm>
                      <a:off x="0" y="0"/>
                      <a:ext cx="7562850" cy="13440410"/>
                    </a:xfrm>
                    <a:prstGeom prst="rect">
                      <a:avLst/>
                    </a:prstGeom>
                    <a:noFill/>
                    <a:ln w="9525">
                      <a:noFill/>
                    </a:ln>
                  </pic:spPr>
                </pic:pic>
              </a:graphicData>
            </a:graphic>
          </wp:anchor>
        </w:drawing>
      </w:r>
      <w:r>
        <w:rPr>
          <w:b/>
          <w:color w:val="FFFFFF"/>
          <w:sz w:val="110"/>
          <w:szCs w:val="110"/>
        </w:rPr>
        <w:t>CAPÍTULO 01</w:t>
      </w:r>
    </w:p>
    <w:p w:rsidR="00BB71F3" w:rsidRDefault="00BB71F3">
      <w:pPr>
        <w:spacing w:after="0" w:line="240" w:lineRule="auto"/>
        <w:jc w:val="center"/>
        <w:rPr>
          <w:b/>
          <w:color w:val="FFFF00"/>
          <w:sz w:val="80"/>
          <w:szCs w:val="80"/>
        </w:rPr>
      </w:pPr>
    </w:p>
    <w:p w:rsidR="00BB71F3" w:rsidRDefault="00BA4190">
      <w:pPr>
        <w:spacing w:line="240" w:lineRule="auto"/>
        <w:jc w:val="center"/>
        <w:rPr>
          <w:b/>
          <w:color w:val="FFFF00"/>
          <w:sz w:val="80"/>
          <w:szCs w:val="80"/>
        </w:rPr>
      </w:pPr>
      <w:r>
        <w:rPr>
          <w:b/>
          <w:color w:val="FFFF00"/>
          <w:sz w:val="80"/>
          <w:szCs w:val="80"/>
        </w:rPr>
        <w:t>ACUPUNTURA COMO ABORDAGEM TERAPÊUTICA PARA FIBROMIALGIA: UMA REVISÃO BIBLIOGRÁFICA</w:t>
      </w:r>
    </w:p>
    <w:p w:rsidR="00BB71F3" w:rsidRDefault="00BA4190">
      <w:pPr>
        <w:spacing w:after="0" w:line="240" w:lineRule="auto"/>
        <w:jc w:val="both"/>
        <w:rPr>
          <w:b/>
          <w:color w:val="FFFFFF"/>
          <w:sz w:val="28"/>
          <w:szCs w:val="28"/>
        </w:rPr>
      </w:pPr>
      <w:r>
        <w:rPr>
          <w:b/>
          <w:color w:val="FFFFFF"/>
          <w:sz w:val="28"/>
          <w:szCs w:val="28"/>
        </w:rPr>
        <w:t>Polyanna Silva Alves Godoi¹</w:t>
      </w:r>
    </w:p>
    <w:p w:rsidR="00BB71F3" w:rsidRDefault="00BA4190">
      <w:pPr>
        <w:spacing w:after="0" w:line="240" w:lineRule="auto"/>
        <w:jc w:val="both"/>
        <w:rPr>
          <w:b/>
          <w:color w:val="FFFFFF"/>
          <w:sz w:val="28"/>
          <w:szCs w:val="28"/>
        </w:rPr>
      </w:pPr>
      <w:r>
        <w:rPr>
          <w:b/>
          <w:color w:val="FFFFFF"/>
          <w:sz w:val="28"/>
          <w:szCs w:val="28"/>
        </w:rPr>
        <w:t>Aline Rizzo Borges¹</w:t>
      </w:r>
    </w:p>
    <w:p w:rsidR="00BB71F3" w:rsidRDefault="00BA4190">
      <w:pPr>
        <w:spacing w:after="0" w:line="240" w:lineRule="auto"/>
        <w:jc w:val="both"/>
        <w:rPr>
          <w:b/>
          <w:color w:val="FFFFFF"/>
          <w:sz w:val="28"/>
          <w:szCs w:val="28"/>
        </w:rPr>
      </w:pPr>
      <w:r>
        <w:rPr>
          <w:b/>
          <w:color w:val="FFFFFF"/>
          <w:sz w:val="28"/>
          <w:szCs w:val="28"/>
        </w:rPr>
        <w:t>Beatriz Pires Paes¹</w:t>
      </w:r>
    </w:p>
    <w:p w:rsidR="00BB71F3" w:rsidRDefault="00BA4190">
      <w:pPr>
        <w:spacing w:after="0" w:line="240" w:lineRule="auto"/>
        <w:jc w:val="both"/>
        <w:rPr>
          <w:b/>
          <w:color w:val="FFFFFF"/>
          <w:sz w:val="28"/>
          <w:szCs w:val="28"/>
        </w:rPr>
      </w:pPr>
      <w:r>
        <w:rPr>
          <w:b/>
          <w:color w:val="FFFFFF"/>
          <w:sz w:val="28"/>
          <w:szCs w:val="28"/>
        </w:rPr>
        <w:t>Bruna de Paula Gonçalves Sousa Lyra¹</w:t>
      </w:r>
    </w:p>
    <w:p w:rsidR="00BB71F3" w:rsidRDefault="00BA4190">
      <w:pPr>
        <w:spacing w:after="0" w:line="240" w:lineRule="auto"/>
        <w:jc w:val="both"/>
        <w:rPr>
          <w:b/>
          <w:color w:val="FFFFFF"/>
          <w:sz w:val="28"/>
          <w:szCs w:val="28"/>
        </w:rPr>
      </w:pPr>
      <w:r>
        <w:rPr>
          <w:b/>
          <w:color w:val="FFFFFF"/>
          <w:sz w:val="28"/>
          <w:szCs w:val="28"/>
        </w:rPr>
        <w:t>Esther Cabral Jersey¹</w:t>
      </w:r>
    </w:p>
    <w:p w:rsidR="00BB71F3" w:rsidRDefault="00BA4190">
      <w:pPr>
        <w:spacing w:after="0" w:line="240" w:lineRule="auto"/>
        <w:jc w:val="both"/>
        <w:rPr>
          <w:b/>
          <w:color w:val="FFFFFF"/>
          <w:sz w:val="28"/>
          <w:szCs w:val="28"/>
        </w:rPr>
      </w:pPr>
      <w:r>
        <w:rPr>
          <w:b/>
          <w:color w:val="FFFFFF"/>
          <w:sz w:val="28"/>
          <w:szCs w:val="28"/>
        </w:rPr>
        <w:t>Gabriela Brill Ney²</w:t>
      </w:r>
    </w:p>
    <w:p w:rsidR="00BB71F3" w:rsidRDefault="00BA4190">
      <w:pPr>
        <w:spacing w:after="0" w:line="240" w:lineRule="auto"/>
        <w:jc w:val="both"/>
        <w:rPr>
          <w:b/>
          <w:color w:val="FFFFFF"/>
          <w:sz w:val="28"/>
          <w:szCs w:val="28"/>
        </w:rPr>
      </w:pPr>
      <w:r>
        <w:rPr>
          <w:b/>
          <w:color w:val="FFFFFF"/>
          <w:sz w:val="28"/>
          <w:szCs w:val="28"/>
        </w:rPr>
        <w:t xml:space="preserve">Lorenna </w:t>
      </w:r>
      <w:r>
        <w:rPr>
          <w:b/>
          <w:color w:val="FFFFFF"/>
          <w:sz w:val="28"/>
          <w:szCs w:val="28"/>
        </w:rPr>
        <w:t>Alves Bezerrra¹</w:t>
      </w:r>
    </w:p>
    <w:p w:rsidR="00BB71F3" w:rsidRDefault="00BA4190">
      <w:pPr>
        <w:spacing w:after="0" w:line="240" w:lineRule="auto"/>
        <w:jc w:val="both"/>
        <w:rPr>
          <w:b/>
          <w:color w:val="FFFFFF"/>
          <w:sz w:val="28"/>
          <w:szCs w:val="28"/>
        </w:rPr>
      </w:pPr>
      <w:r>
        <w:rPr>
          <w:b/>
          <w:color w:val="FFFFFF"/>
          <w:sz w:val="28"/>
          <w:szCs w:val="28"/>
        </w:rPr>
        <w:t>Natália Vargas do Nascimento³</w:t>
      </w:r>
    </w:p>
    <w:p w:rsidR="00BB71F3" w:rsidRDefault="00BA4190">
      <w:pPr>
        <w:spacing w:after="0" w:line="240" w:lineRule="auto"/>
        <w:jc w:val="both"/>
        <w:rPr>
          <w:b/>
          <w:color w:val="FFFFFF"/>
          <w:sz w:val="28"/>
          <w:szCs w:val="28"/>
        </w:rPr>
      </w:pPr>
      <w:r>
        <w:rPr>
          <w:b/>
          <w:color w:val="FFFFFF"/>
          <w:sz w:val="28"/>
          <w:szCs w:val="28"/>
        </w:rPr>
        <w:t>Paulo Ricardo Guimarães Rocha Storni</w:t>
      </w:r>
      <w:r>
        <w:rPr>
          <w:b/>
          <w:color w:val="FFFFFF"/>
          <w:sz w:val="28"/>
          <w:szCs w:val="28"/>
          <w:vertAlign w:val="superscript"/>
        </w:rPr>
        <w:t>4</w:t>
      </w:r>
    </w:p>
    <w:p w:rsidR="00BB71F3" w:rsidRDefault="00BA4190">
      <w:pPr>
        <w:spacing w:after="0" w:line="240" w:lineRule="auto"/>
        <w:jc w:val="both"/>
        <w:rPr>
          <w:b/>
          <w:color w:val="FFFFFF"/>
          <w:sz w:val="28"/>
          <w:szCs w:val="28"/>
        </w:rPr>
      </w:pPr>
      <w:r>
        <w:rPr>
          <w:b/>
          <w:color w:val="FFFFFF"/>
          <w:sz w:val="28"/>
          <w:szCs w:val="28"/>
        </w:rPr>
        <w:t>Rebeca Naoum Lorga¹</w:t>
      </w:r>
    </w:p>
    <w:p w:rsidR="00BB71F3" w:rsidRDefault="00BA4190">
      <w:pPr>
        <w:spacing w:after="0" w:line="240" w:lineRule="auto"/>
        <w:jc w:val="both"/>
        <w:rPr>
          <w:b/>
          <w:color w:val="FFFFFF"/>
          <w:sz w:val="28"/>
          <w:szCs w:val="28"/>
        </w:rPr>
      </w:pPr>
      <w:r>
        <w:rPr>
          <w:b/>
          <w:color w:val="FFFFFF"/>
          <w:sz w:val="28"/>
          <w:szCs w:val="28"/>
        </w:rPr>
        <w:t>Tamires Martinelli de Oliveira Ferraz¹</w:t>
      </w:r>
    </w:p>
    <w:p w:rsidR="00BB71F3" w:rsidRDefault="00BA4190">
      <w:pPr>
        <w:spacing w:after="0" w:line="240" w:lineRule="auto"/>
        <w:jc w:val="both"/>
        <w:rPr>
          <w:b/>
          <w:color w:val="FFFFFF"/>
          <w:sz w:val="28"/>
          <w:szCs w:val="28"/>
        </w:rPr>
      </w:pPr>
      <w:r>
        <w:rPr>
          <w:b/>
          <w:color w:val="FFFFFF"/>
          <w:sz w:val="28"/>
          <w:szCs w:val="28"/>
        </w:rPr>
        <w:t>Ana Paula Monteiro Gomides¹</w:t>
      </w:r>
    </w:p>
    <w:p w:rsidR="00BB71F3" w:rsidRDefault="00BA4190">
      <w:pPr>
        <w:spacing w:after="0" w:line="240" w:lineRule="auto"/>
        <w:jc w:val="both"/>
        <w:rPr>
          <w:b/>
          <w:color w:val="FFFFFF"/>
          <w:sz w:val="28"/>
          <w:szCs w:val="28"/>
          <w:vertAlign w:val="superscript"/>
        </w:rPr>
      </w:pPr>
      <w:r>
        <w:rPr>
          <w:b/>
          <w:color w:val="FFFFFF"/>
          <w:sz w:val="28"/>
          <w:szCs w:val="28"/>
        </w:rPr>
        <w:t>Viviane Cristina Uliana Peterle</w:t>
      </w:r>
      <w:r>
        <w:rPr>
          <w:b/>
          <w:color w:val="FFFFFF"/>
          <w:sz w:val="28"/>
          <w:szCs w:val="28"/>
          <w:vertAlign w:val="superscript"/>
        </w:rPr>
        <w:t>1,5</w:t>
      </w:r>
    </w:p>
    <w:p w:rsidR="00BB71F3" w:rsidRDefault="00BB71F3">
      <w:pPr>
        <w:spacing w:after="0" w:line="240" w:lineRule="auto"/>
        <w:jc w:val="both"/>
        <w:rPr>
          <w:b/>
          <w:color w:val="FFFFFF"/>
          <w:sz w:val="24"/>
          <w:szCs w:val="24"/>
        </w:rPr>
      </w:pPr>
    </w:p>
    <w:p w:rsidR="00BB71F3" w:rsidRDefault="00BA4190">
      <w:pPr>
        <w:spacing w:after="0" w:line="240" w:lineRule="auto"/>
        <w:jc w:val="right"/>
        <w:rPr>
          <w:b/>
          <w:color w:val="FFFFFF"/>
          <w:sz w:val="24"/>
          <w:szCs w:val="24"/>
        </w:rPr>
      </w:pPr>
      <w:r>
        <w:rPr>
          <w:b/>
          <w:color w:val="FFFFFF"/>
          <w:sz w:val="24"/>
          <w:szCs w:val="24"/>
        </w:rPr>
        <w:t>¹ Centro Universitário de Brasília (CEUB)</w:t>
      </w:r>
    </w:p>
    <w:p w:rsidR="00BB71F3" w:rsidRDefault="00BA4190">
      <w:pPr>
        <w:spacing w:after="0" w:line="240" w:lineRule="auto"/>
        <w:jc w:val="right"/>
        <w:rPr>
          <w:b/>
          <w:color w:val="FFFFFF"/>
          <w:sz w:val="24"/>
          <w:szCs w:val="24"/>
        </w:rPr>
      </w:pPr>
      <w:r>
        <w:rPr>
          <w:b/>
          <w:color w:val="FFFFFF"/>
          <w:sz w:val="24"/>
          <w:szCs w:val="24"/>
        </w:rPr>
        <w:t>² Centr</w:t>
      </w:r>
      <w:r>
        <w:rPr>
          <w:b/>
          <w:color w:val="FFFFFF"/>
          <w:sz w:val="24"/>
          <w:szCs w:val="24"/>
        </w:rPr>
        <w:t>o Universitário do Planalto Central Apparecido dos Santos (Uniceplac)</w:t>
      </w:r>
    </w:p>
    <w:p w:rsidR="00BB71F3" w:rsidRDefault="00BA4190">
      <w:pPr>
        <w:spacing w:after="0" w:line="240" w:lineRule="auto"/>
        <w:jc w:val="right"/>
        <w:rPr>
          <w:b/>
          <w:color w:val="FFFFFF"/>
          <w:sz w:val="24"/>
          <w:szCs w:val="24"/>
        </w:rPr>
      </w:pPr>
      <w:r>
        <w:rPr>
          <w:b/>
          <w:color w:val="FFFFFF"/>
          <w:sz w:val="24"/>
          <w:szCs w:val="24"/>
        </w:rPr>
        <w:t>³ Universidade Católica de Brasília (UCB)</w:t>
      </w:r>
    </w:p>
    <w:p w:rsidR="00BB71F3" w:rsidRDefault="00BA4190">
      <w:pPr>
        <w:spacing w:after="0" w:line="240" w:lineRule="auto"/>
        <w:jc w:val="right"/>
        <w:rPr>
          <w:b/>
          <w:color w:val="FFFFFF"/>
          <w:sz w:val="24"/>
          <w:szCs w:val="24"/>
          <w:vertAlign w:val="superscript"/>
        </w:rPr>
      </w:pPr>
      <w:r>
        <w:rPr>
          <w:b/>
          <w:color w:val="FFFFFF"/>
          <w:sz w:val="24"/>
          <w:szCs w:val="24"/>
          <w:vertAlign w:val="superscript"/>
        </w:rPr>
        <w:t xml:space="preserve">4 </w:t>
      </w:r>
      <w:r>
        <w:rPr>
          <w:b/>
          <w:color w:val="FFFFFF"/>
          <w:sz w:val="24"/>
          <w:szCs w:val="24"/>
        </w:rPr>
        <w:t>Centro Universitário Euro Americano (UniEURO)</w:t>
      </w:r>
    </w:p>
    <w:p w:rsidR="00BB71F3" w:rsidRDefault="00BA4190">
      <w:pPr>
        <w:spacing w:after="0" w:line="240" w:lineRule="auto"/>
        <w:jc w:val="right"/>
        <w:rPr>
          <w:b/>
          <w:color w:val="FFFFFF"/>
          <w:sz w:val="24"/>
          <w:szCs w:val="24"/>
        </w:rPr>
      </w:pPr>
      <w:r>
        <w:rPr>
          <w:b/>
          <w:color w:val="FFFFFF"/>
          <w:sz w:val="24"/>
          <w:szCs w:val="24"/>
          <w:vertAlign w:val="superscript"/>
        </w:rPr>
        <w:t>5</w:t>
      </w:r>
      <w:r>
        <w:rPr>
          <w:b/>
          <w:color w:val="FFFFFF"/>
          <w:sz w:val="24"/>
          <w:szCs w:val="24"/>
        </w:rPr>
        <w:t xml:space="preserve"> Escola Superior de Ciências da Saúde (ESCS)</w:t>
      </w:r>
    </w:p>
    <w:p w:rsidR="00BB71F3" w:rsidRDefault="00BB71F3">
      <w:pPr>
        <w:spacing w:after="0" w:line="240" w:lineRule="auto"/>
        <w:jc w:val="center"/>
        <w:rPr>
          <w:b/>
          <w:color w:val="44546A"/>
          <w:szCs w:val="70"/>
        </w:rPr>
      </w:pPr>
    </w:p>
    <w:p w:rsidR="00BB71F3" w:rsidRDefault="00BA4190">
      <w:pPr>
        <w:spacing w:after="0" w:line="240" w:lineRule="auto"/>
        <w:jc w:val="center"/>
        <w:rPr>
          <w:b/>
          <w:color w:val="44546A"/>
          <w:sz w:val="28"/>
          <w:szCs w:val="28"/>
        </w:rPr>
      </w:pPr>
      <w:r>
        <w:rPr>
          <w:b/>
          <w:color w:val="44546A"/>
          <w:sz w:val="70"/>
          <w:szCs w:val="70"/>
        </w:rPr>
        <w:lastRenderedPageBreak/>
        <w:t>CAPÍTULO 01</w:t>
      </w:r>
    </w:p>
    <w:p w:rsidR="00BB71F3" w:rsidRDefault="00BB71F3">
      <w:pPr>
        <w:spacing w:after="0" w:line="240" w:lineRule="auto"/>
        <w:jc w:val="center"/>
        <w:rPr>
          <w:b/>
          <w:color w:val="000000"/>
          <w:sz w:val="40"/>
          <w:szCs w:val="40"/>
        </w:rPr>
      </w:pPr>
    </w:p>
    <w:p w:rsidR="00BB71F3" w:rsidRDefault="00BA4190">
      <w:pPr>
        <w:spacing w:after="0" w:line="240" w:lineRule="auto"/>
        <w:jc w:val="center"/>
        <w:rPr>
          <w:b/>
          <w:color w:val="000000"/>
          <w:sz w:val="40"/>
          <w:szCs w:val="40"/>
        </w:rPr>
      </w:pPr>
      <w:r>
        <w:rPr>
          <w:b/>
          <w:color w:val="000000"/>
          <w:sz w:val="40"/>
          <w:szCs w:val="40"/>
        </w:rPr>
        <w:t xml:space="preserve">ACUPUNTURA COMO UMA ABORDAGEM </w:t>
      </w:r>
      <w:r>
        <w:rPr>
          <w:b/>
          <w:color w:val="000000"/>
          <w:sz w:val="40"/>
          <w:szCs w:val="40"/>
        </w:rPr>
        <w:t>TERAPÊUTICA PARA FIBROMIALGIA: UMA REVISÃO BIBLIOGRÁFICA</w:t>
      </w:r>
    </w:p>
    <w:p w:rsidR="00BB71F3" w:rsidRDefault="00BB71F3">
      <w:pPr>
        <w:spacing w:after="0" w:line="240" w:lineRule="auto"/>
        <w:jc w:val="center"/>
        <w:rPr>
          <w:b/>
          <w:color w:val="000000"/>
          <w:sz w:val="40"/>
          <w:szCs w:val="40"/>
        </w:rPr>
      </w:pPr>
    </w:p>
    <w:p w:rsidR="00BB71F3" w:rsidRDefault="00BA4190">
      <w:pPr>
        <w:spacing w:after="0" w:line="240" w:lineRule="auto"/>
        <w:jc w:val="center"/>
        <w:rPr>
          <w:sz w:val="28"/>
          <w:szCs w:val="28"/>
        </w:rPr>
      </w:pPr>
      <w:r>
        <w:rPr>
          <w:sz w:val="28"/>
          <w:szCs w:val="28"/>
        </w:rPr>
        <w:t>Polyanna S A Godoi</w:t>
      </w:r>
      <w:r>
        <w:rPr>
          <w:sz w:val="28"/>
          <w:szCs w:val="28"/>
          <w:vertAlign w:val="superscript"/>
        </w:rPr>
        <w:t>1</w:t>
      </w:r>
      <w:r>
        <w:rPr>
          <w:sz w:val="28"/>
          <w:szCs w:val="28"/>
        </w:rPr>
        <w:t>, Aline R Borges</w:t>
      </w:r>
      <w:r>
        <w:rPr>
          <w:sz w:val="28"/>
          <w:szCs w:val="28"/>
          <w:vertAlign w:val="superscript"/>
        </w:rPr>
        <w:t>1</w:t>
      </w:r>
      <w:r>
        <w:rPr>
          <w:sz w:val="28"/>
          <w:szCs w:val="28"/>
        </w:rPr>
        <w:t>, Beatriz P Paes</w:t>
      </w:r>
      <w:r>
        <w:rPr>
          <w:sz w:val="28"/>
          <w:szCs w:val="28"/>
          <w:vertAlign w:val="superscript"/>
        </w:rPr>
        <w:t>1</w:t>
      </w:r>
      <w:r>
        <w:rPr>
          <w:sz w:val="28"/>
          <w:szCs w:val="28"/>
        </w:rPr>
        <w:t>, Bruna P G S Lyra</w:t>
      </w:r>
      <w:r>
        <w:rPr>
          <w:sz w:val="28"/>
          <w:szCs w:val="28"/>
          <w:vertAlign w:val="superscript"/>
        </w:rPr>
        <w:t>1</w:t>
      </w:r>
      <w:r>
        <w:rPr>
          <w:sz w:val="28"/>
          <w:szCs w:val="28"/>
        </w:rPr>
        <w:t>, Esther C Jersey</w:t>
      </w:r>
      <w:r>
        <w:rPr>
          <w:sz w:val="28"/>
          <w:szCs w:val="28"/>
          <w:vertAlign w:val="superscript"/>
        </w:rPr>
        <w:t>1</w:t>
      </w:r>
      <w:r>
        <w:rPr>
          <w:sz w:val="28"/>
          <w:szCs w:val="28"/>
        </w:rPr>
        <w:t>, Gabriela B Ney</w:t>
      </w:r>
      <w:r>
        <w:rPr>
          <w:sz w:val="28"/>
          <w:szCs w:val="28"/>
          <w:vertAlign w:val="superscript"/>
        </w:rPr>
        <w:t>2</w:t>
      </w:r>
      <w:r>
        <w:rPr>
          <w:sz w:val="28"/>
          <w:szCs w:val="28"/>
        </w:rPr>
        <w:t>, Lorenna A Bezerra</w:t>
      </w:r>
      <w:r>
        <w:rPr>
          <w:sz w:val="28"/>
          <w:szCs w:val="28"/>
          <w:vertAlign w:val="superscript"/>
        </w:rPr>
        <w:t>1</w:t>
      </w:r>
      <w:r>
        <w:rPr>
          <w:sz w:val="28"/>
          <w:szCs w:val="28"/>
        </w:rPr>
        <w:t>, Natália V Nascimento</w:t>
      </w:r>
      <w:r>
        <w:rPr>
          <w:sz w:val="28"/>
          <w:szCs w:val="28"/>
          <w:vertAlign w:val="superscript"/>
        </w:rPr>
        <w:t>3</w:t>
      </w:r>
      <w:r>
        <w:rPr>
          <w:sz w:val="28"/>
          <w:szCs w:val="28"/>
        </w:rPr>
        <w:t>, Paulo R G R Storni</w:t>
      </w:r>
      <w:r>
        <w:rPr>
          <w:sz w:val="28"/>
          <w:szCs w:val="28"/>
          <w:vertAlign w:val="superscript"/>
        </w:rPr>
        <w:t>4</w:t>
      </w:r>
      <w:r>
        <w:rPr>
          <w:sz w:val="28"/>
          <w:szCs w:val="28"/>
        </w:rPr>
        <w:t>, Rebeca N Lorga</w:t>
      </w:r>
      <w:r>
        <w:rPr>
          <w:sz w:val="28"/>
          <w:szCs w:val="28"/>
          <w:vertAlign w:val="superscript"/>
        </w:rPr>
        <w:t>1</w:t>
      </w:r>
      <w:r>
        <w:rPr>
          <w:sz w:val="28"/>
          <w:szCs w:val="28"/>
        </w:rPr>
        <w:t xml:space="preserve">, Tamires </w:t>
      </w:r>
      <w:r>
        <w:rPr>
          <w:sz w:val="28"/>
          <w:szCs w:val="28"/>
        </w:rPr>
        <w:t>M O Ferraz</w:t>
      </w:r>
      <w:r>
        <w:rPr>
          <w:sz w:val="28"/>
          <w:szCs w:val="28"/>
          <w:vertAlign w:val="superscript"/>
        </w:rPr>
        <w:t>1</w:t>
      </w:r>
      <w:r>
        <w:rPr>
          <w:sz w:val="28"/>
          <w:szCs w:val="28"/>
        </w:rPr>
        <w:t>, Ana P M Gomides</w:t>
      </w:r>
      <w:r>
        <w:rPr>
          <w:sz w:val="28"/>
          <w:szCs w:val="28"/>
          <w:vertAlign w:val="superscript"/>
        </w:rPr>
        <w:t>5</w:t>
      </w:r>
      <w:r>
        <w:rPr>
          <w:sz w:val="28"/>
          <w:szCs w:val="28"/>
        </w:rPr>
        <w:t>, Viviane C U Peterle</w:t>
      </w:r>
      <w:r>
        <w:rPr>
          <w:sz w:val="28"/>
          <w:szCs w:val="28"/>
          <w:vertAlign w:val="superscript"/>
        </w:rPr>
        <w:t>5,6</w:t>
      </w:r>
    </w:p>
    <w:p w:rsidR="00BB71F3" w:rsidRDefault="00BB71F3">
      <w:pPr>
        <w:spacing w:after="0" w:line="240" w:lineRule="auto"/>
        <w:rPr>
          <w:sz w:val="24"/>
          <w:szCs w:val="24"/>
        </w:rPr>
      </w:pPr>
    </w:p>
    <w:p w:rsidR="00BB71F3" w:rsidRDefault="00BA4190">
      <w:pPr>
        <w:spacing w:after="0" w:line="240" w:lineRule="auto"/>
        <w:jc w:val="both"/>
        <w:rPr>
          <w:sz w:val="20"/>
          <w:szCs w:val="20"/>
        </w:rPr>
      </w:pPr>
      <w:r>
        <w:rPr>
          <w:sz w:val="20"/>
          <w:szCs w:val="20"/>
          <w:vertAlign w:val="superscript"/>
        </w:rPr>
        <w:t xml:space="preserve">1 </w:t>
      </w:r>
      <w:r>
        <w:rPr>
          <w:sz w:val="20"/>
          <w:szCs w:val="20"/>
        </w:rPr>
        <w:t>Discente de Medicina, Centro Universitário de Brasília (CEUB), Brasília/DF</w:t>
      </w:r>
    </w:p>
    <w:p w:rsidR="00BB71F3" w:rsidRDefault="00BA4190">
      <w:pPr>
        <w:spacing w:after="0" w:line="240" w:lineRule="auto"/>
        <w:jc w:val="both"/>
        <w:rPr>
          <w:sz w:val="20"/>
          <w:szCs w:val="20"/>
        </w:rPr>
      </w:pPr>
      <w:r>
        <w:rPr>
          <w:sz w:val="20"/>
          <w:szCs w:val="20"/>
          <w:vertAlign w:val="superscript"/>
        </w:rPr>
        <w:t xml:space="preserve">2 </w:t>
      </w:r>
      <w:r>
        <w:rPr>
          <w:sz w:val="20"/>
          <w:szCs w:val="20"/>
        </w:rPr>
        <w:t>Discente de Medicina, Centro Universitário do Planalto Central Apparecido dos Santos (Uniceplac), Brasília/DF</w:t>
      </w:r>
    </w:p>
    <w:p w:rsidR="00BB71F3" w:rsidRDefault="00BA4190">
      <w:pPr>
        <w:spacing w:after="0" w:line="240" w:lineRule="auto"/>
        <w:jc w:val="both"/>
        <w:rPr>
          <w:sz w:val="20"/>
          <w:szCs w:val="20"/>
        </w:rPr>
      </w:pPr>
      <w:r>
        <w:rPr>
          <w:sz w:val="20"/>
          <w:szCs w:val="20"/>
          <w:vertAlign w:val="superscript"/>
        </w:rPr>
        <w:t>3</w:t>
      </w:r>
      <w:r>
        <w:rPr>
          <w:sz w:val="20"/>
          <w:szCs w:val="20"/>
        </w:rPr>
        <w:t xml:space="preserve"> Discente de Medicina, Universidade Católica de Brasília (UCB), Brasília/DF</w:t>
      </w:r>
    </w:p>
    <w:p w:rsidR="00BB71F3" w:rsidRDefault="00BA4190">
      <w:pPr>
        <w:spacing w:after="0" w:line="240" w:lineRule="auto"/>
        <w:jc w:val="both"/>
        <w:rPr>
          <w:sz w:val="20"/>
          <w:szCs w:val="20"/>
          <w:vertAlign w:val="superscript"/>
        </w:rPr>
      </w:pPr>
      <w:r>
        <w:rPr>
          <w:sz w:val="20"/>
          <w:szCs w:val="20"/>
          <w:vertAlign w:val="superscript"/>
        </w:rPr>
        <w:t xml:space="preserve">4 </w:t>
      </w:r>
      <w:r>
        <w:rPr>
          <w:sz w:val="20"/>
          <w:szCs w:val="20"/>
        </w:rPr>
        <w:t>Discente de Medicina, Centro Universitário Euro Americano (UniEURO), Brasília/DF)</w:t>
      </w:r>
    </w:p>
    <w:p w:rsidR="00BB71F3" w:rsidRDefault="00BA4190">
      <w:pPr>
        <w:spacing w:after="0" w:line="240" w:lineRule="auto"/>
        <w:jc w:val="both"/>
        <w:rPr>
          <w:sz w:val="20"/>
          <w:szCs w:val="20"/>
          <w:vertAlign w:val="superscript"/>
        </w:rPr>
      </w:pPr>
      <w:r>
        <w:rPr>
          <w:sz w:val="20"/>
          <w:szCs w:val="20"/>
          <w:vertAlign w:val="superscript"/>
        </w:rPr>
        <w:t xml:space="preserve">5 </w:t>
      </w:r>
      <w:r>
        <w:rPr>
          <w:sz w:val="20"/>
          <w:szCs w:val="20"/>
        </w:rPr>
        <w:t>Docente de Medicina, Centro Universitário de Brasília (CEUB), Brasília/DF</w:t>
      </w:r>
    </w:p>
    <w:p w:rsidR="00BB71F3" w:rsidRDefault="00BA4190">
      <w:pPr>
        <w:spacing w:after="0" w:line="240" w:lineRule="auto"/>
        <w:rPr>
          <w:sz w:val="20"/>
          <w:szCs w:val="20"/>
        </w:rPr>
      </w:pPr>
      <w:r>
        <w:rPr>
          <w:sz w:val="20"/>
          <w:szCs w:val="20"/>
          <w:vertAlign w:val="superscript"/>
        </w:rPr>
        <w:t>6</w:t>
      </w:r>
      <w:r>
        <w:rPr>
          <w:sz w:val="20"/>
          <w:szCs w:val="20"/>
        </w:rPr>
        <w:t xml:space="preserve"> Docente de Medicin</w:t>
      </w:r>
      <w:r>
        <w:rPr>
          <w:sz w:val="20"/>
          <w:szCs w:val="20"/>
        </w:rPr>
        <w:t>a, Escola Superior de Ciências da Saúde (ESCS), Brasília/DF</w:t>
      </w:r>
    </w:p>
    <w:p w:rsidR="00BB71F3" w:rsidRDefault="00BB71F3">
      <w:pPr>
        <w:spacing w:after="0" w:line="360" w:lineRule="auto"/>
        <w:rPr>
          <w:sz w:val="24"/>
          <w:szCs w:val="24"/>
        </w:rPr>
      </w:pPr>
    </w:p>
    <w:p w:rsidR="00BB71F3" w:rsidRDefault="00BA4190">
      <w:pPr>
        <w:spacing w:after="0" w:line="360" w:lineRule="auto"/>
        <w:rPr>
          <w:b/>
          <w:color w:val="44546A"/>
          <w:sz w:val="24"/>
          <w:szCs w:val="24"/>
        </w:rPr>
      </w:pPr>
      <w:r>
        <w:rPr>
          <w:b/>
          <w:color w:val="44546A"/>
          <w:sz w:val="24"/>
          <w:szCs w:val="24"/>
        </w:rPr>
        <w:t>RESUMO</w:t>
      </w:r>
    </w:p>
    <w:p w:rsidR="00BB71F3" w:rsidRDefault="00BA4190">
      <w:pPr>
        <w:pStyle w:val="NormalWeb"/>
        <w:shd w:val="clear" w:color="auto" w:fill="FFFFFF"/>
        <w:spacing w:before="0" w:beforeAutospacing="0" w:after="0" w:afterAutospacing="0"/>
        <w:jc w:val="both"/>
      </w:pPr>
      <w:r>
        <w:rPr>
          <w:b/>
          <w:bCs/>
          <w:color w:val="000000"/>
          <w:shd w:val="clear" w:color="auto" w:fill="FFFFFF"/>
        </w:rPr>
        <w:t xml:space="preserve">Introdução: </w:t>
      </w:r>
      <w:r>
        <w:rPr>
          <w:color w:val="000000"/>
          <w:shd w:val="clear" w:color="auto" w:fill="FFFFFF"/>
        </w:rPr>
        <w:t>A Fibromialgia é uma síndrome de sensibilidade central, presente em 0.4% a 9.3% da população, acompanhada de sintomatologia variada: fadiga crônica, dispepsia funcional, síndro</w:t>
      </w:r>
      <w:r>
        <w:rPr>
          <w:color w:val="000000"/>
          <w:shd w:val="clear" w:color="auto" w:fill="FFFFFF"/>
        </w:rPr>
        <w:t>me do intestino irritável, dor miofascial, depressão entre outros. Assim sendo, a conduta terapêutica é focada em sua complexidade, necessitando de abordagem multiprofissional: fármacos, acompanhamento psiquiátrico, fisioterapia, exercícios aeróbicos, tera</w:t>
      </w:r>
      <w:r>
        <w:rPr>
          <w:color w:val="000000"/>
          <w:shd w:val="clear" w:color="auto" w:fill="FFFFFF"/>
        </w:rPr>
        <w:t xml:space="preserve">pia cognitivo-comportamental, massagens e outros. Dentro da modalidade fisioterápica, a acupuntura é a mais difundida e a mais promissora. </w:t>
      </w:r>
      <w:r>
        <w:rPr>
          <w:b/>
          <w:bCs/>
          <w:color w:val="000000"/>
          <w:shd w:val="clear" w:color="auto" w:fill="FFFFFF"/>
        </w:rPr>
        <w:t xml:space="preserve">Métodos: </w:t>
      </w:r>
      <w:r>
        <w:rPr>
          <w:color w:val="000000"/>
          <w:shd w:val="clear" w:color="auto" w:fill="FFFFFF"/>
        </w:rPr>
        <w:t xml:space="preserve">Foi realizado uma revisão bibliográfica a partir das bases de dado PubMed, LILACS, BVS, Google Acadêmico, </w:t>
      </w:r>
      <w:r>
        <w:rPr>
          <w:color w:val="000000"/>
        </w:rPr>
        <w:t>Sc</w:t>
      </w:r>
      <w:r>
        <w:rPr>
          <w:color w:val="000000"/>
        </w:rPr>
        <w:t xml:space="preserve">iELO, Periódicos da CAPES, entre 2012 e 2021 obtendo informações da eficácia de acupuntura em pacientes fibromiálgicos, associando-se à melhora de qualidade de vida, fadiga e alívio da dor.  </w:t>
      </w:r>
      <w:r>
        <w:rPr>
          <w:b/>
          <w:bCs/>
          <w:color w:val="000000"/>
        </w:rPr>
        <w:t>Resultados e discussão:</w:t>
      </w:r>
      <w:r>
        <w:rPr>
          <w:color w:val="000000"/>
        </w:rPr>
        <w:t xml:space="preserve"> A acupuntura como terapia para pacientes </w:t>
      </w:r>
      <w:r>
        <w:rPr>
          <w:color w:val="000000"/>
        </w:rPr>
        <w:t>com fibromialgia apresenta redução de pontos dolorosos, diminuição da dor, rigidez, fadiga, qualidade do sono, ansiedade e bem-estar. A duração dos efeitos gerados pela terapia ainda é controversa, assim como ainda é conflitante na literatura se estes bene</w:t>
      </w:r>
      <w:r>
        <w:rPr>
          <w:color w:val="000000"/>
        </w:rPr>
        <w:t xml:space="preserve">fícios são encontrados nas diversas modalidades de acupuntura ou se é exclusivo da acupuntura tradicional. </w:t>
      </w:r>
      <w:r>
        <w:rPr>
          <w:b/>
          <w:bCs/>
          <w:color w:val="000000"/>
        </w:rPr>
        <w:t xml:space="preserve">Conclusão: </w:t>
      </w:r>
      <w:r>
        <w:rPr>
          <w:color w:val="000000"/>
        </w:rPr>
        <w:t>A partir da análise das evidências científicas coletadas a partir da pesquisa bibliográfica, foi possível afirmar que a prática de acupunt</w:t>
      </w:r>
      <w:r>
        <w:rPr>
          <w:color w:val="000000"/>
        </w:rPr>
        <w:t>ura traz benefícios ao tratamento da síndrome fibromiálgica, ou seja, melhora não só a dor crônica, como também, a qualidade de vida dos pacientes. Ademais, esta técnica quando associada ao exercício físico aeróbico trouxe melhora da dor, fadiga e rigidez.</w:t>
      </w:r>
      <w:r>
        <w:rPr>
          <w:color w:val="000000"/>
        </w:rPr>
        <w:t xml:space="preserve"> Dessa forma, a acupuntura é uma técnica segura, a qual, quando associada à terapia multiprofissional para FM traz ampla melhora sintomática para esses pacientes (atenuação limiar da dor, </w:t>
      </w:r>
      <w:r>
        <w:rPr>
          <w:color w:val="000000"/>
        </w:rPr>
        <w:lastRenderedPageBreak/>
        <w:t>melhora depressiva, alívio da ansiedade e fadiga, aumento da qualida</w:t>
      </w:r>
      <w:r>
        <w:rPr>
          <w:color w:val="000000"/>
        </w:rPr>
        <w:t xml:space="preserve">de de vida em geral). </w:t>
      </w:r>
    </w:p>
    <w:p w:rsidR="00BB71F3" w:rsidRDefault="00BB71F3">
      <w:pPr>
        <w:spacing w:after="0" w:line="240" w:lineRule="auto"/>
        <w:rPr>
          <w:i/>
          <w:sz w:val="20"/>
          <w:szCs w:val="20"/>
        </w:rPr>
      </w:pPr>
    </w:p>
    <w:p w:rsidR="00BB71F3" w:rsidRDefault="00BA4190">
      <w:pPr>
        <w:spacing w:after="0" w:line="240" w:lineRule="auto"/>
        <w:rPr>
          <w:i/>
          <w:sz w:val="20"/>
          <w:szCs w:val="20"/>
        </w:rPr>
      </w:pPr>
      <w:r>
        <w:rPr>
          <w:i/>
          <w:sz w:val="20"/>
          <w:szCs w:val="20"/>
        </w:rPr>
        <w:t>Palavras-chave: Fibromialgia; Medicina Integrativa; Acupuntura.</w:t>
      </w:r>
    </w:p>
    <w:p w:rsidR="00BB71F3" w:rsidRDefault="00BB71F3">
      <w:pPr>
        <w:spacing w:after="0" w:line="360" w:lineRule="auto"/>
        <w:rPr>
          <w:b/>
          <w:sz w:val="24"/>
          <w:szCs w:val="24"/>
        </w:rPr>
      </w:pPr>
    </w:p>
    <w:p w:rsidR="00BB71F3" w:rsidRDefault="00BB71F3">
      <w:pPr>
        <w:rPr>
          <w:b/>
          <w:color w:val="1F3864"/>
          <w:sz w:val="28"/>
          <w:szCs w:val="28"/>
        </w:rPr>
      </w:pPr>
    </w:p>
    <w:p w:rsidR="00BB71F3" w:rsidRDefault="00BA4190">
      <w:pPr>
        <w:rPr>
          <w:b/>
          <w:color w:val="1F3864"/>
          <w:sz w:val="28"/>
          <w:szCs w:val="28"/>
        </w:rPr>
      </w:pPr>
      <w:r>
        <w:rPr>
          <w:b/>
          <w:color w:val="1F3864"/>
          <w:sz w:val="28"/>
          <w:szCs w:val="28"/>
        </w:rPr>
        <w:t>1. INTRODUÇÃO</w:t>
      </w:r>
    </w:p>
    <w:p w:rsidR="00BB71F3" w:rsidRDefault="00BA4190">
      <w:pPr>
        <w:pStyle w:val="NormalWeb"/>
        <w:spacing w:before="0" w:beforeAutospacing="0" w:after="0" w:afterAutospacing="0" w:line="360" w:lineRule="auto"/>
        <w:ind w:firstLine="720"/>
        <w:jc w:val="both"/>
        <w:rPr>
          <w:color w:val="000000"/>
        </w:rPr>
      </w:pPr>
      <w:r>
        <w:rPr>
          <w:color w:val="000000"/>
        </w:rPr>
        <w:t xml:space="preserve">A fibromialgia (FM) participa das síndromes de sensibilidade central (CHINN </w:t>
      </w:r>
      <w:r>
        <w:rPr>
          <w:rFonts w:ascii="Times New Roman Italic" w:hAnsi="Times New Roman Italic" w:cs="Times New Roman Italic"/>
          <w:i/>
          <w:iCs/>
          <w:color w:val="000000"/>
        </w:rPr>
        <w:t>et al.</w:t>
      </w:r>
      <w:r>
        <w:rPr>
          <w:color w:val="000000"/>
        </w:rPr>
        <w:t xml:space="preserve">, 2016), tem origem idiopática e consequências sistêmicas (PRABHAKAR </w:t>
      </w:r>
      <w:r>
        <w:rPr>
          <w:rFonts w:ascii="Times New Roman Italic" w:hAnsi="Times New Roman Italic" w:cs="Times New Roman Italic"/>
          <w:i/>
          <w:iCs/>
          <w:color w:val="000000"/>
        </w:rPr>
        <w:t>et al.</w:t>
      </w:r>
      <w:r>
        <w:rPr>
          <w:color w:val="000000"/>
        </w:rPr>
        <w:t xml:space="preserve">, 2019). Encontra-se em 0,4% a 9,3% da população, com predileção pelo sexo feminino e após a meia-idade (MARTÍNEZ &amp; MACÍAS, 2012; PATEL </w:t>
      </w:r>
      <w:r>
        <w:rPr>
          <w:rFonts w:ascii="Times New Roman Italic" w:hAnsi="Times New Roman Italic" w:cs="Times New Roman Italic"/>
          <w:i/>
          <w:iCs/>
          <w:color w:val="000000"/>
        </w:rPr>
        <w:t>et al.</w:t>
      </w:r>
      <w:r>
        <w:rPr>
          <w:color w:val="000000"/>
        </w:rPr>
        <w:t xml:space="preserve">, 2020; PRABHAKAR </w:t>
      </w:r>
      <w:r>
        <w:rPr>
          <w:rFonts w:ascii="Times New Roman Italic" w:hAnsi="Times New Roman Italic" w:cs="Times New Roman Italic"/>
          <w:i/>
          <w:iCs/>
          <w:color w:val="000000"/>
        </w:rPr>
        <w:t>et al.</w:t>
      </w:r>
      <w:r>
        <w:rPr>
          <w:color w:val="000000"/>
        </w:rPr>
        <w:t xml:space="preserve">, 2019;). Caracteriza-se por dor crônica musculoesquelética generalizada, associada </w:t>
      </w:r>
      <w:r>
        <w:rPr>
          <w:color w:val="000000"/>
        </w:rPr>
        <w:t xml:space="preserve">à fadiga, distúrbios do sono e alterações do humor (PATEL </w:t>
      </w:r>
      <w:r>
        <w:rPr>
          <w:rFonts w:ascii="Times New Roman Italic" w:hAnsi="Times New Roman Italic" w:cs="Times New Roman Italic"/>
          <w:i/>
          <w:iCs/>
          <w:color w:val="000000"/>
        </w:rPr>
        <w:t>et al.</w:t>
      </w:r>
      <w:r>
        <w:rPr>
          <w:color w:val="000000"/>
        </w:rPr>
        <w:t xml:space="preserve">, 2020; PRABHAKAR </w:t>
      </w:r>
      <w:r>
        <w:rPr>
          <w:rFonts w:ascii="Times New Roman Italic" w:hAnsi="Times New Roman Italic" w:cs="Times New Roman Italic"/>
          <w:i/>
          <w:iCs/>
          <w:color w:val="000000"/>
        </w:rPr>
        <w:t>et al.</w:t>
      </w:r>
      <w:r>
        <w:rPr>
          <w:color w:val="000000"/>
        </w:rPr>
        <w:t>, 2019). </w:t>
      </w:r>
    </w:p>
    <w:p w:rsidR="00BB71F3" w:rsidRDefault="00BA4190">
      <w:pPr>
        <w:pStyle w:val="NormalWeb"/>
        <w:spacing w:before="0" w:beforeAutospacing="0" w:after="0" w:afterAutospacing="0" w:line="360" w:lineRule="auto"/>
        <w:ind w:firstLine="720"/>
        <w:jc w:val="both"/>
        <w:rPr>
          <w:color w:val="000000"/>
        </w:rPr>
      </w:pPr>
      <w:r>
        <w:rPr>
          <w:color w:val="000000"/>
        </w:rPr>
        <w:t>A fisiopatologia inespecífica e a variedade de sintomas dificultam sua abordagem (OLIVEIRA JÚNIOR &amp; RAMOS, 2019; PEREIRA et al.,2021). Acredita-se que a patog</w:t>
      </w:r>
      <w:r>
        <w:rPr>
          <w:color w:val="000000"/>
        </w:rPr>
        <w:t xml:space="preserve">ênese envolva alterações no eixo hipotálamo-hipófise-adrenal, processamento sensorial anormal, fatores comportamentais e psicológicos (MARTÍNEZ &amp; MACÍAS, 2012). Há diminuição do limiar de dor e aumento da resposta a estímulos sensoriais. (CHINN </w:t>
      </w:r>
      <w:r>
        <w:rPr>
          <w:rFonts w:ascii="Times New Roman Italic" w:hAnsi="Times New Roman Italic" w:cs="Times New Roman Italic"/>
          <w:i/>
          <w:iCs/>
          <w:color w:val="000000"/>
        </w:rPr>
        <w:t>et al.</w:t>
      </w:r>
      <w:r>
        <w:rPr>
          <w:color w:val="000000"/>
        </w:rPr>
        <w:t>, 201</w:t>
      </w:r>
      <w:r>
        <w:rPr>
          <w:color w:val="000000"/>
        </w:rPr>
        <w:t xml:space="preserve">6; MARTÍNEZ &amp; MACÍAS, 2012; PRABHAKAR </w:t>
      </w:r>
      <w:r>
        <w:rPr>
          <w:rFonts w:ascii="Times New Roman Italic" w:hAnsi="Times New Roman Italic" w:cs="Times New Roman Italic"/>
          <w:i/>
          <w:iCs/>
          <w:color w:val="000000"/>
        </w:rPr>
        <w:t>et al.</w:t>
      </w:r>
      <w:r>
        <w:rPr>
          <w:color w:val="000000"/>
        </w:rPr>
        <w:t>, 2019). </w:t>
      </w:r>
    </w:p>
    <w:p w:rsidR="00BB71F3" w:rsidRDefault="00BA4190">
      <w:pPr>
        <w:pStyle w:val="NormalWeb"/>
        <w:spacing w:before="0" w:beforeAutospacing="0" w:after="0" w:afterAutospacing="0" w:line="360" w:lineRule="auto"/>
        <w:ind w:firstLine="720"/>
        <w:jc w:val="both"/>
        <w:rPr>
          <w:color w:val="000000"/>
        </w:rPr>
      </w:pPr>
      <w:r>
        <w:rPr>
          <w:color w:val="000000"/>
        </w:rPr>
        <w:t xml:space="preserve">Embora o exame de tender points seja feito tradicionalmente como diagnóstico, atualmente não é aceito como achado clínico confiável. A retirada deste parâmetro ajustou a definição da doença para caracterização em dores difusas e sintomas chaves adicionais </w:t>
      </w:r>
      <w:r>
        <w:rPr>
          <w:color w:val="000000"/>
        </w:rPr>
        <w:t xml:space="preserve">(fadiga, sono, cognição, sintomas somáticos relatados) (HEYMANN </w:t>
      </w:r>
      <w:r>
        <w:rPr>
          <w:rFonts w:ascii="Times New Roman Italic" w:hAnsi="Times New Roman Italic" w:cs="Times New Roman Italic"/>
          <w:i/>
          <w:iCs/>
          <w:color w:val="000000"/>
        </w:rPr>
        <w:t>et al.</w:t>
      </w:r>
      <w:r>
        <w:rPr>
          <w:color w:val="000000"/>
        </w:rPr>
        <w:t>, 2017).</w:t>
      </w:r>
    </w:p>
    <w:p w:rsidR="00BB71F3" w:rsidRDefault="00BA4190">
      <w:pPr>
        <w:pStyle w:val="NormalWeb"/>
        <w:spacing w:before="0" w:beforeAutospacing="0" w:after="0" w:afterAutospacing="0" w:line="360" w:lineRule="auto"/>
        <w:ind w:firstLine="720"/>
        <w:jc w:val="both"/>
        <w:rPr>
          <w:color w:val="000000"/>
        </w:rPr>
      </w:pPr>
      <w:r>
        <w:rPr>
          <w:color w:val="000000"/>
        </w:rPr>
        <w:t xml:space="preserve">O tratamento envolve abordagem multiprofissional, focando na melhora da qualidade de vida e manejo sintomático (CHINN </w:t>
      </w:r>
      <w:r>
        <w:rPr>
          <w:rFonts w:ascii="Times New Roman Italic" w:hAnsi="Times New Roman Italic" w:cs="Times New Roman Italic"/>
          <w:i/>
          <w:iCs/>
          <w:color w:val="000000"/>
        </w:rPr>
        <w:t>et al.</w:t>
      </w:r>
      <w:r>
        <w:rPr>
          <w:color w:val="000000"/>
        </w:rPr>
        <w:t xml:space="preserve">, 2016; PATEL </w:t>
      </w:r>
      <w:r>
        <w:rPr>
          <w:rFonts w:ascii="Times New Roman Italic" w:hAnsi="Times New Roman Italic" w:cs="Times New Roman Italic"/>
          <w:i/>
          <w:iCs/>
          <w:color w:val="000000"/>
        </w:rPr>
        <w:t>et al.</w:t>
      </w:r>
      <w:r>
        <w:rPr>
          <w:color w:val="000000"/>
        </w:rPr>
        <w:t xml:space="preserve">, 2020; PRABHAKAR </w:t>
      </w:r>
      <w:r>
        <w:rPr>
          <w:rFonts w:ascii="Times New Roman Italic" w:hAnsi="Times New Roman Italic" w:cs="Times New Roman Italic"/>
          <w:i/>
          <w:iCs/>
          <w:color w:val="000000"/>
        </w:rPr>
        <w:t>et al.</w:t>
      </w:r>
      <w:r>
        <w:rPr>
          <w:color w:val="000000"/>
        </w:rPr>
        <w:t xml:space="preserve">, 2019). </w:t>
      </w:r>
      <w:r>
        <w:rPr>
          <w:color w:val="000000"/>
        </w:rPr>
        <w:t xml:space="preserve">A farmacoterapia abrange antidepressivos, relaxantes musculares, medicamentos sedativos e anticonvulsivantes (CHINN </w:t>
      </w:r>
      <w:r>
        <w:rPr>
          <w:rFonts w:ascii="Times New Roman Italic" w:hAnsi="Times New Roman Italic" w:cs="Times New Roman Italic"/>
          <w:i/>
          <w:iCs/>
          <w:color w:val="000000"/>
        </w:rPr>
        <w:t>et al.</w:t>
      </w:r>
      <w:r>
        <w:rPr>
          <w:color w:val="000000"/>
        </w:rPr>
        <w:t xml:space="preserve">, 2016; MARTÍNEZ &amp; MACÍAS, 2012; PATEL </w:t>
      </w:r>
      <w:r>
        <w:rPr>
          <w:rFonts w:ascii="Times New Roman Italic" w:hAnsi="Times New Roman Italic" w:cs="Times New Roman Italic"/>
          <w:i/>
          <w:iCs/>
          <w:color w:val="000000"/>
        </w:rPr>
        <w:t>et al.</w:t>
      </w:r>
      <w:r>
        <w:rPr>
          <w:color w:val="000000"/>
        </w:rPr>
        <w:t xml:space="preserve">, 2020). Outras modalidades incluem: fisioterapia, exercício físico, Terapia, massagem e </w:t>
      </w:r>
      <w:r>
        <w:rPr>
          <w:color w:val="000000"/>
        </w:rPr>
        <w:t xml:space="preserve">estimulação magnética transcraniana. (CHINN </w:t>
      </w:r>
      <w:r>
        <w:rPr>
          <w:rFonts w:ascii="Times New Roman Italic" w:hAnsi="Times New Roman Italic" w:cs="Times New Roman Italic"/>
          <w:i/>
          <w:iCs/>
          <w:color w:val="000000"/>
        </w:rPr>
        <w:t>et al.</w:t>
      </w:r>
      <w:r>
        <w:rPr>
          <w:color w:val="000000"/>
        </w:rPr>
        <w:t xml:space="preserve">, 2016; MARTÍNEZ &amp; MACÍAS, 2012; PRABHAKAR </w:t>
      </w:r>
      <w:r>
        <w:rPr>
          <w:rFonts w:ascii="Times New Roman Italic" w:hAnsi="Times New Roman Italic" w:cs="Times New Roman Italic"/>
          <w:i/>
          <w:iCs/>
          <w:color w:val="000000"/>
        </w:rPr>
        <w:t>et al.</w:t>
      </w:r>
      <w:r>
        <w:rPr>
          <w:color w:val="000000"/>
        </w:rPr>
        <w:t>, 2019). </w:t>
      </w:r>
    </w:p>
    <w:p w:rsidR="00BB71F3" w:rsidRDefault="00BA4190">
      <w:pPr>
        <w:pStyle w:val="NormalWeb"/>
        <w:spacing w:before="0" w:beforeAutospacing="0" w:after="0" w:afterAutospacing="0" w:line="360" w:lineRule="auto"/>
        <w:ind w:firstLine="720"/>
        <w:jc w:val="both"/>
        <w:rPr>
          <w:color w:val="000000"/>
        </w:rPr>
      </w:pPr>
      <w:r>
        <w:rPr>
          <w:color w:val="000000"/>
        </w:rPr>
        <w:t xml:space="preserve">Dentro da fisioterapia, a acupuntura vem sendo muito promissora (MARTÍNEZ &amp; MACÍAS, 2012; OZEN </w:t>
      </w:r>
      <w:r>
        <w:rPr>
          <w:rFonts w:ascii="Times New Roman Italic" w:hAnsi="Times New Roman Italic" w:cs="Times New Roman Italic"/>
          <w:i/>
          <w:iCs/>
          <w:color w:val="000000"/>
        </w:rPr>
        <w:t>et al.</w:t>
      </w:r>
      <w:r>
        <w:rPr>
          <w:color w:val="000000"/>
        </w:rPr>
        <w:t>, 2019). Trata-se de uma forma de medicina tra</w:t>
      </w:r>
      <w:r>
        <w:rPr>
          <w:color w:val="000000"/>
        </w:rPr>
        <w:t xml:space="preserve">dicional </w:t>
      </w:r>
      <w:r>
        <w:rPr>
          <w:color w:val="000000"/>
        </w:rPr>
        <w:lastRenderedPageBreak/>
        <w:t xml:space="preserve">chinesa envolvendo a colocação de agulhas finas em pontos localizados em meridianos associados a órgãos e vísceras (CHINN </w:t>
      </w:r>
      <w:r>
        <w:rPr>
          <w:rFonts w:ascii="Times New Roman Italic" w:hAnsi="Times New Roman Italic" w:cs="Times New Roman Italic"/>
          <w:i/>
          <w:iCs/>
          <w:color w:val="000000"/>
        </w:rPr>
        <w:t>et al.</w:t>
      </w:r>
      <w:r>
        <w:rPr>
          <w:color w:val="000000"/>
        </w:rPr>
        <w:t xml:space="preserve">, 2016, PATEL </w:t>
      </w:r>
      <w:r>
        <w:rPr>
          <w:rFonts w:ascii="Times New Roman Italic" w:hAnsi="Times New Roman Italic" w:cs="Times New Roman Italic"/>
          <w:i/>
          <w:iCs/>
          <w:color w:val="000000"/>
        </w:rPr>
        <w:t>et al.</w:t>
      </w:r>
      <w:r>
        <w:rPr>
          <w:color w:val="000000"/>
        </w:rPr>
        <w:t>, 2020). A eficácia baseia-se na modulação da dor, liberando opióides endógenos e serotonina (plasm</w:t>
      </w:r>
      <w:r>
        <w:rPr>
          <w:color w:val="000000"/>
        </w:rPr>
        <w:t xml:space="preserve">a e no SNC), gerando ação analgésica, sedativa e anti-inflamatória (KELLY &amp; WILLIS, 2019; OZEN </w:t>
      </w:r>
      <w:r>
        <w:rPr>
          <w:rFonts w:ascii="Times New Roman Italic" w:hAnsi="Times New Roman Italic" w:cs="Times New Roman Italic"/>
          <w:i/>
          <w:iCs/>
          <w:color w:val="000000"/>
        </w:rPr>
        <w:t>et al.</w:t>
      </w:r>
      <w:r>
        <w:rPr>
          <w:color w:val="000000"/>
        </w:rPr>
        <w:t xml:space="preserve">, 2019; PEREIRA </w:t>
      </w:r>
      <w:r>
        <w:rPr>
          <w:rFonts w:ascii="Times New Roman Italic" w:hAnsi="Times New Roman Italic" w:cs="Times New Roman Italic"/>
          <w:i/>
          <w:iCs/>
          <w:color w:val="000000"/>
        </w:rPr>
        <w:t>et al.</w:t>
      </w:r>
      <w:r>
        <w:rPr>
          <w:color w:val="000000"/>
        </w:rPr>
        <w:t>, 2021). Este estudo objetivou evidenciar os impactos da acupuntura como terapia para pacientes com FM. </w:t>
      </w:r>
    </w:p>
    <w:p w:rsidR="00BB71F3" w:rsidRDefault="00BB71F3">
      <w:pPr>
        <w:spacing w:after="0" w:line="360" w:lineRule="auto"/>
        <w:rPr>
          <w:b/>
          <w:color w:val="1F3864"/>
          <w:sz w:val="28"/>
          <w:szCs w:val="28"/>
        </w:rPr>
      </w:pPr>
    </w:p>
    <w:p w:rsidR="00BB71F3" w:rsidRDefault="00BA4190">
      <w:pPr>
        <w:rPr>
          <w:b/>
          <w:color w:val="1F3864"/>
          <w:sz w:val="28"/>
          <w:szCs w:val="28"/>
        </w:rPr>
      </w:pPr>
      <w:r>
        <w:rPr>
          <w:b/>
          <w:color w:val="1F3864"/>
          <w:sz w:val="28"/>
          <w:szCs w:val="28"/>
        </w:rPr>
        <w:t>2. MÉTODO</w:t>
      </w:r>
    </w:p>
    <w:p w:rsidR="00BB71F3" w:rsidRDefault="00BA4190">
      <w:pPr>
        <w:pStyle w:val="NormalWeb"/>
        <w:spacing w:before="0" w:beforeAutospacing="0" w:after="0" w:afterAutospacing="0" w:line="360" w:lineRule="auto"/>
        <w:ind w:firstLine="720"/>
        <w:jc w:val="both"/>
        <w:rPr>
          <w:color w:val="000000"/>
        </w:rPr>
      </w:pPr>
      <w:r>
        <w:rPr>
          <w:color w:val="000000"/>
        </w:rPr>
        <w:t>Trata-se de uma r</w:t>
      </w:r>
      <w:r>
        <w:rPr>
          <w:color w:val="000000"/>
        </w:rPr>
        <w:t>evisão bibliográfica sobre a efetividade da acupuntura em relação a alívio de dor, fadiga e melhora da qualidade de vida, como terapêutica integrativa da fibromialgia. Foram selecionados artigos científicos publicados nas bases de dados LILACS, SciELO, Per</w:t>
      </w:r>
      <w:r>
        <w:rPr>
          <w:color w:val="000000"/>
        </w:rPr>
        <w:t>iódicos da CAPES, PubMed, BVS, MEDLINE e Google Acadêmico. </w:t>
      </w:r>
    </w:p>
    <w:p w:rsidR="00BB71F3" w:rsidRDefault="00BA4190">
      <w:pPr>
        <w:pStyle w:val="NormalWeb"/>
        <w:spacing w:before="0" w:beforeAutospacing="0" w:after="0" w:afterAutospacing="0" w:line="360" w:lineRule="auto"/>
        <w:ind w:firstLine="720"/>
        <w:jc w:val="both"/>
        <w:rPr>
          <w:color w:val="000000"/>
        </w:rPr>
      </w:pPr>
      <w:r>
        <w:rPr>
          <w:color w:val="000000"/>
        </w:rPr>
        <w:t>Os critérios de inclusão foram artigos de revisão bibliográfica, revisão sistemática, revisões integrativas, metanálises e estudos randomizados, em inglês e português, de 2012 a maio de 2021. Os d</w:t>
      </w:r>
      <w:r>
        <w:rPr>
          <w:color w:val="000000"/>
        </w:rPr>
        <w:t>escritores utilizados foram: “Fibromialgia”; “medicina integrativa” e “acupuntura”.</w:t>
      </w:r>
    </w:p>
    <w:p w:rsidR="00BB71F3" w:rsidRDefault="00BB71F3">
      <w:pPr>
        <w:rPr>
          <w:b/>
          <w:color w:val="1F3864"/>
          <w:sz w:val="28"/>
          <w:szCs w:val="28"/>
        </w:rPr>
      </w:pPr>
    </w:p>
    <w:p w:rsidR="00BB71F3" w:rsidRDefault="00BA4190">
      <w:pPr>
        <w:rPr>
          <w:b/>
          <w:color w:val="1F3864"/>
          <w:sz w:val="28"/>
          <w:szCs w:val="28"/>
        </w:rPr>
      </w:pPr>
      <w:r>
        <w:rPr>
          <w:b/>
          <w:color w:val="1F3864"/>
          <w:sz w:val="28"/>
          <w:szCs w:val="28"/>
        </w:rPr>
        <w:t>3. RESULTADOS E DISCUSSÃO</w:t>
      </w:r>
    </w:p>
    <w:p w:rsidR="00BB71F3" w:rsidRDefault="00BB71F3">
      <w:pPr>
        <w:rPr>
          <w:b/>
          <w:color w:val="1F3864"/>
          <w:sz w:val="20"/>
          <w:szCs w:val="20"/>
        </w:rPr>
      </w:pPr>
    </w:p>
    <w:p w:rsidR="00BB71F3" w:rsidRDefault="00BA4190">
      <w:pPr>
        <w:spacing w:after="0" w:line="360" w:lineRule="auto"/>
        <w:ind w:firstLine="709"/>
        <w:jc w:val="both"/>
        <w:rPr>
          <w:b/>
          <w:color w:val="44546A"/>
          <w:sz w:val="24"/>
          <w:szCs w:val="24"/>
        </w:rPr>
      </w:pPr>
      <w:r>
        <w:rPr>
          <w:b/>
          <w:color w:val="44546A"/>
          <w:sz w:val="24"/>
          <w:szCs w:val="24"/>
        </w:rPr>
        <w:t>3.1. Acupuntura e a dor na FM</w:t>
      </w:r>
    </w:p>
    <w:p w:rsidR="00BB71F3" w:rsidRDefault="00BA4190">
      <w:pPr>
        <w:pStyle w:val="NormalWeb"/>
        <w:spacing w:before="240" w:beforeAutospacing="0" w:after="240" w:afterAutospacing="0" w:line="360" w:lineRule="auto"/>
        <w:ind w:firstLine="720"/>
        <w:jc w:val="both"/>
        <w:rPr>
          <w:color w:val="000000"/>
        </w:rPr>
      </w:pPr>
      <w:r>
        <w:rPr>
          <w:color w:val="000000"/>
        </w:rPr>
        <w:t>A partir da análise bibliográfica, evidenciou-se que as sessões de acupuntura culminaram em diminuição de pontos d</w:t>
      </w:r>
      <w:r>
        <w:rPr>
          <w:color w:val="000000"/>
        </w:rPr>
        <w:t xml:space="preserve">olorosos e redução da escala visual analógica da dor (EVA) (BAI </w:t>
      </w:r>
      <w:r>
        <w:rPr>
          <w:rFonts w:ascii="Times New Roman Italic" w:hAnsi="Times New Roman Italic" w:cs="Times New Roman Italic"/>
          <w:i/>
          <w:iCs/>
          <w:color w:val="000000"/>
        </w:rPr>
        <w:t>et al.</w:t>
      </w:r>
      <w:r>
        <w:rPr>
          <w:color w:val="000000"/>
        </w:rPr>
        <w:t xml:space="preserve">, 2014; CHINN </w:t>
      </w:r>
      <w:r>
        <w:rPr>
          <w:rFonts w:ascii="Times New Roman Italic" w:hAnsi="Times New Roman Italic" w:cs="Times New Roman Italic"/>
          <w:i/>
          <w:iCs/>
          <w:color w:val="000000"/>
        </w:rPr>
        <w:t>et al.</w:t>
      </w:r>
      <w:r>
        <w:rPr>
          <w:color w:val="000000"/>
        </w:rPr>
        <w:t xml:space="preserve">, 2016; HAN </w:t>
      </w:r>
      <w:r>
        <w:rPr>
          <w:rFonts w:ascii="Times New Roman Italic" w:hAnsi="Times New Roman Italic" w:cs="Times New Roman Italic"/>
          <w:i/>
          <w:iCs/>
          <w:color w:val="000000"/>
        </w:rPr>
        <w:t>et al.</w:t>
      </w:r>
      <w:r>
        <w:rPr>
          <w:color w:val="000000"/>
        </w:rPr>
        <w:t xml:space="preserve">, 2020; STIVAL </w:t>
      </w:r>
      <w:r>
        <w:rPr>
          <w:rFonts w:ascii="Times New Roman Italic" w:hAnsi="Times New Roman Italic" w:cs="Times New Roman Italic"/>
          <w:i/>
          <w:iCs/>
          <w:color w:val="000000"/>
        </w:rPr>
        <w:t>et al.</w:t>
      </w:r>
      <w:r>
        <w:rPr>
          <w:color w:val="000000"/>
        </w:rPr>
        <w:t xml:space="preserve">, 2014). Além disso, exercícios físicos aeróbicos, quando associados à terapia multiprofissional da FM (incluindo-se a acupuntura), aumentam o limiar de dor dos pacientes e reduzem fadiga e rigidez (BAI </w:t>
      </w:r>
      <w:r>
        <w:rPr>
          <w:rFonts w:ascii="Times New Roman Italic" w:hAnsi="Times New Roman Italic" w:cs="Times New Roman Italic"/>
          <w:i/>
          <w:iCs/>
          <w:color w:val="000000"/>
        </w:rPr>
        <w:t>et al.</w:t>
      </w:r>
      <w:r>
        <w:rPr>
          <w:color w:val="000000"/>
        </w:rPr>
        <w:t xml:space="preserve">, 2014; BIDONDE </w:t>
      </w:r>
      <w:r>
        <w:rPr>
          <w:rFonts w:ascii="Times New Roman Italic" w:hAnsi="Times New Roman Italic" w:cs="Times New Roman Italic"/>
          <w:i/>
          <w:iCs/>
          <w:color w:val="000000"/>
        </w:rPr>
        <w:t>et al.</w:t>
      </w:r>
      <w:r>
        <w:rPr>
          <w:color w:val="000000"/>
        </w:rPr>
        <w:t>, 2017).</w:t>
      </w:r>
    </w:p>
    <w:p w:rsidR="00BB71F3" w:rsidRDefault="00BA4190">
      <w:pPr>
        <w:spacing w:after="0" w:line="360" w:lineRule="auto"/>
        <w:ind w:firstLine="709"/>
        <w:jc w:val="both"/>
        <w:rPr>
          <w:b/>
          <w:color w:val="44546A"/>
          <w:sz w:val="24"/>
          <w:szCs w:val="24"/>
        </w:rPr>
      </w:pPr>
      <w:r>
        <w:rPr>
          <w:b/>
          <w:color w:val="44546A"/>
          <w:sz w:val="24"/>
          <w:szCs w:val="24"/>
        </w:rPr>
        <w:t xml:space="preserve">3.2. Diferentes </w:t>
      </w:r>
      <w:r>
        <w:rPr>
          <w:b/>
          <w:color w:val="44546A"/>
          <w:sz w:val="24"/>
          <w:szCs w:val="24"/>
        </w:rPr>
        <w:t>tipos de acupuntura na FM</w:t>
      </w:r>
    </w:p>
    <w:p w:rsidR="00BB71F3" w:rsidRDefault="00BA4190">
      <w:pPr>
        <w:pStyle w:val="NormalWeb"/>
        <w:spacing w:before="240" w:beforeAutospacing="0" w:after="240" w:afterAutospacing="0" w:line="360" w:lineRule="auto"/>
        <w:ind w:firstLine="720"/>
        <w:jc w:val="both"/>
        <w:rPr>
          <w:color w:val="000000"/>
        </w:rPr>
      </w:pPr>
      <w:r>
        <w:rPr>
          <w:color w:val="000000"/>
        </w:rPr>
        <w:t>Diversas técnicas de acupuntura analisadas, dentre elas a acupuntura manual tradicional chinesa, verum e a eletroacupuntura (EA), mostrando-se seguras e capazes de amenizar dor, rigidez, melhorar qualidade do sono, bem-estar geral</w:t>
      </w:r>
      <w:r>
        <w:rPr>
          <w:color w:val="000000"/>
        </w:rPr>
        <w:t xml:space="preserve"> e ansiedade (BAI </w:t>
      </w:r>
      <w:r>
        <w:rPr>
          <w:rFonts w:ascii="Times New Roman Italic" w:hAnsi="Times New Roman Italic" w:cs="Times New Roman Italic"/>
          <w:i/>
          <w:iCs/>
          <w:color w:val="000000"/>
        </w:rPr>
        <w:lastRenderedPageBreak/>
        <w:t>et al.</w:t>
      </w:r>
      <w:r>
        <w:rPr>
          <w:color w:val="000000"/>
        </w:rPr>
        <w:t xml:space="preserve">, 2014; CHINN </w:t>
      </w:r>
      <w:r>
        <w:rPr>
          <w:rFonts w:ascii="Times New Roman Italic" w:hAnsi="Times New Roman Italic" w:cs="Times New Roman Italic"/>
          <w:i/>
          <w:iCs/>
          <w:color w:val="000000"/>
        </w:rPr>
        <w:t>et al.</w:t>
      </w:r>
      <w:r>
        <w:rPr>
          <w:color w:val="000000"/>
        </w:rPr>
        <w:t xml:space="preserve">, 2016; DEARE </w:t>
      </w:r>
      <w:r>
        <w:rPr>
          <w:rFonts w:ascii="Times New Roman Italic" w:hAnsi="Times New Roman Italic" w:cs="Times New Roman Italic"/>
          <w:i/>
          <w:iCs/>
          <w:color w:val="000000"/>
        </w:rPr>
        <w:t>et al.</w:t>
      </w:r>
      <w:r>
        <w:rPr>
          <w:color w:val="000000"/>
        </w:rPr>
        <w:t>, 2013; KARATAY</w:t>
      </w:r>
      <w:r>
        <w:rPr>
          <w:rFonts w:ascii="Times New Roman Italic" w:hAnsi="Times New Roman Italic" w:cs="Times New Roman Italic"/>
          <w:i/>
          <w:iCs/>
          <w:color w:val="000000"/>
        </w:rPr>
        <w:t xml:space="preserve"> et al.</w:t>
      </w:r>
      <w:r>
        <w:rPr>
          <w:color w:val="000000"/>
        </w:rPr>
        <w:t xml:space="preserve">, 2017; KIM </w:t>
      </w:r>
      <w:r>
        <w:rPr>
          <w:rFonts w:ascii="Times New Roman Italic" w:hAnsi="Times New Roman Italic" w:cs="Times New Roman Italic"/>
          <w:i/>
          <w:iCs/>
          <w:color w:val="000000"/>
        </w:rPr>
        <w:t>et al.</w:t>
      </w:r>
      <w:r>
        <w:rPr>
          <w:color w:val="000000"/>
        </w:rPr>
        <w:t xml:space="preserve">, 2019; PATEL </w:t>
      </w:r>
      <w:r>
        <w:rPr>
          <w:rFonts w:ascii="Times New Roman Italic" w:hAnsi="Times New Roman Italic" w:cs="Times New Roman Italic"/>
          <w:i/>
          <w:iCs/>
          <w:color w:val="000000"/>
        </w:rPr>
        <w:t>et al.</w:t>
      </w:r>
      <w:r>
        <w:rPr>
          <w:color w:val="000000"/>
        </w:rPr>
        <w:t xml:space="preserve">, 2020). Também foi relatada melhora da fadiga (DEARE </w:t>
      </w:r>
      <w:r>
        <w:rPr>
          <w:rFonts w:ascii="Times New Roman Italic" w:hAnsi="Times New Roman Italic" w:cs="Times New Roman Italic"/>
          <w:i/>
          <w:iCs/>
          <w:color w:val="000000"/>
        </w:rPr>
        <w:t>et al.</w:t>
      </w:r>
      <w:r>
        <w:rPr>
          <w:color w:val="000000"/>
        </w:rPr>
        <w:t xml:space="preserve">, 2013; STIVAL </w:t>
      </w:r>
      <w:r>
        <w:rPr>
          <w:rFonts w:ascii="Times New Roman Italic" w:hAnsi="Times New Roman Italic" w:cs="Times New Roman Italic"/>
          <w:i/>
          <w:iCs/>
          <w:color w:val="000000"/>
        </w:rPr>
        <w:t>et al.</w:t>
      </w:r>
      <w:r>
        <w:rPr>
          <w:color w:val="000000"/>
        </w:rPr>
        <w:t>, 2014). Porém, 2 estudos declararam não terem enco</w:t>
      </w:r>
      <w:r>
        <w:rPr>
          <w:color w:val="000000"/>
        </w:rPr>
        <w:t xml:space="preserve">ntrado evidências significativas que determinassem a redução de dor (KIM </w:t>
      </w:r>
      <w:r>
        <w:rPr>
          <w:rFonts w:ascii="Times New Roman Italic" w:hAnsi="Times New Roman Italic" w:cs="Times New Roman Italic"/>
          <w:i/>
          <w:iCs/>
          <w:color w:val="000000"/>
        </w:rPr>
        <w:t>et al.</w:t>
      </w:r>
      <w:r>
        <w:rPr>
          <w:color w:val="000000"/>
        </w:rPr>
        <w:t>, 2019, PATEL</w:t>
      </w:r>
      <w:r>
        <w:rPr>
          <w:rFonts w:ascii="Times New Roman Italic" w:hAnsi="Times New Roman Italic" w:cs="Times New Roman Italic"/>
          <w:i/>
          <w:iCs/>
          <w:color w:val="000000"/>
        </w:rPr>
        <w:t xml:space="preserve"> et al.</w:t>
      </w:r>
      <w:r>
        <w:rPr>
          <w:color w:val="000000"/>
        </w:rPr>
        <w:t xml:space="preserve">, 2020). A eletroacupuntura apresentou melhores resultados quando comparada a acupuntura manual (CHINN </w:t>
      </w:r>
      <w:r>
        <w:rPr>
          <w:rFonts w:ascii="Times New Roman Italic" w:hAnsi="Times New Roman Italic" w:cs="Times New Roman Italic"/>
          <w:i/>
          <w:iCs/>
          <w:color w:val="000000"/>
        </w:rPr>
        <w:t>et al.</w:t>
      </w:r>
      <w:r>
        <w:rPr>
          <w:color w:val="000000"/>
        </w:rPr>
        <w:t xml:space="preserve">, 2016; DEARE </w:t>
      </w:r>
      <w:r>
        <w:rPr>
          <w:rFonts w:ascii="Times New Roman Italic" w:hAnsi="Times New Roman Italic" w:cs="Times New Roman Italic"/>
          <w:i/>
          <w:iCs/>
          <w:color w:val="000000"/>
        </w:rPr>
        <w:t>et al.</w:t>
      </w:r>
      <w:r>
        <w:rPr>
          <w:color w:val="000000"/>
        </w:rPr>
        <w:t>, 2013).</w:t>
      </w:r>
    </w:p>
    <w:p w:rsidR="00BB71F3" w:rsidRDefault="00BA4190">
      <w:pPr>
        <w:spacing w:after="0" w:line="360" w:lineRule="auto"/>
        <w:ind w:firstLine="709"/>
        <w:jc w:val="both"/>
        <w:rPr>
          <w:b/>
          <w:color w:val="44546A"/>
          <w:sz w:val="24"/>
          <w:szCs w:val="24"/>
        </w:rPr>
      </w:pPr>
      <w:r>
        <w:rPr>
          <w:b/>
          <w:color w:val="44546A"/>
          <w:sz w:val="24"/>
          <w:szCs w:val="24"/>
        </w:rPr>
        <w:t>3.3. Acupuntura tra</w:t>
      </w:r>
      <w:r>
        <w:rPr>
          <w:b/>
          <w:color w:val="44546A"/>
          <w:sz w:val="24"/>
          <w:szCs w:val="24"/>
        </w:rPr>
        <w:t>dicional x acupuntura placebo:</w:t>
      </w:r>
    </w:p>
    <w:p w:rsidR="00BB71F3" w:rsidRDefault="00BA4190">
      <w:pPr>
        <w:pStyle w:val="NormalWeb"/>
        <w:spacing w:before="240" w:beforeAutospacing="0" w:after="0" w:afterAutospacing="0" w:line="360" w:lineRule="auto"/>
        <w:ind w:firstLine="720"/>
        <w:jc w:val="both"/>
        <w:rPr>
          <w:color w:val="000000"/>
        </w:rPr>
      </w:pPr>
      <w:r>
        <w:rPr>
          <w:color w:val="000000"/>
        </w:rPr>
        <w:t>Várias literaturas utilizaram a acupuntura sham (um procedimento placebo) como controle para determinar a eficácia da acupuntura Medicinal Chinesa Tradicional (MCT - acupuntura verdadeira). Seis artigos relataram que os grupo</w:t>
      </w:r>
      <w:r>
        <w:rPr>
          <w:color w:val="000000"/>
        </w:rPr>
        <w:t>s-controle submetidos à acupuntura sham sentiram leve melhora da dor. Todavia, esses resultados não tiveram tanta significância quanto os observados com grupos experimentais (acupuntura propriamente dito), os quais a melhora da dor foi consideravelmente ma</w:t>
      </w:r>
      <w:r>
        <w:rPr>
          <w:color w:val="000000"/>
        </w:rPr>
        <w:t xml:space="preserve">ior. Assim, a redução da dor após acupuntura não poderia ser devida unicamente ao efeito placebo. (KARATAY </w:t>
      </w:r>
      <w:r>
        <w:rPr>
          <w:rFonts w:ascii="Times New Roman Italic" w:hAnsi="Times New Roman Italic" w:cs="Times New Roman Italic"/>
          <w:i/>
          <w:iCs/>
          <w:color w:val="000000"/>
        </w:rPr>
        <w:t>et al.</w:t>
      </w:r>
      <w:r>
        <w:rPr>
          <w:color w:val="000000"/>
        </w:rPr>
        <w:t xml:space="preserve">, 2017; KELLY &amp; WILLIS, 2019; KIM </w:t>
      </w:r>
      <w:r>
        <w:rPr>
          <w:rFonts w:ascii="Times New Roman Italic" w:hAnsi="Times New Roman Italic" w:cs="Times New Roman Italic"/>
          <w:i/>
          <w:iCs/>
          <w:color w:val="000000"/>
        </w:rPr>
        <w:t>et al.</w:t>
      </w:r>
      <w:r>
        <w:rPr>
          <w:color w:val="000000"/>
        </w:rPr>
        <w:t xml:space="preserve">, 2019; MARTÍNEZ &amp; MACÍAS, 2012; OLIVEIRA JÚNIOR &amp; RAMOS, 2019; STIVAL </w:t>
      </w:r>
      <w:r>
        <w:rPr>
          <w:rFonts w:ascii="Times New Roman Italic" w:hAnsi="Times New Roman Italic" w:cs="Times New Roman Italic"/>
          <w:i/>
          <w:iCs/>
          <w:color w:val="000000"/>
        </w:rPr>
        <w:t>et al.</w:t>
      </w:r>
      <w:r>
        <w:rPr>
          <w:color w:val="000000"/>
        </w:rPr>
        <w:t>, 2014;). Entretanto, outr</w:t>
      </w:r>
      <w:r>
        <w:rPr>
          <w:color w:val="000000"/>
        </w:rPr>
        <w:t xml:space="preserve">os 3 trabalhos afirmaram não haver evidências suficientes para comprovar a eficácia de tal terapia. (BAI </w:t>
      </w:r>
      <w:r>
        <w:rPr>
          <w:rFonts w:ascii="Times New Roman Italic" w:hAnsi="Times New Roman Italic" w:cs="Times New Roman Italic"/>
          <w:i/>
          <w:iCs/>
          <w:color w:val="000000"/>
        </w:rPr>
        <w:t>et al</w:t>
      </w:r>
      <w:r>
        <w:rPr>
          <w:color w:val="000000"/>
        </w:rPr>
        <w:t xml:space="preserve">, 2014; STIVAL </w:t>
      </w:r>
      <w:r>
        <w:rPr>
          <w:rFonts w:ascii="Times New Roman Italic" w:hAnsi="Times New Roman Italic" w:cs="Times New Roman Italic"/>
          <w:i/>
          <w:iCs/>
          <w:color w:val="000000"/>
        </w:rPr>
        <w:t>et al.</w:t>
      </w:r>
      <w:r>
        <w:rPr>
          <w:color w:val="000000"/>
        </w:rPr>
        <w:t xml:space="preserve">, 2014). Em relação à fadiga, ambas são consideradas ineficazes em pacientes com fibromialgia (KIM </w:t>
      </w:r>
      <w:r>
        <w:rPr>
          <w:rFonts w:ascii="Times New Roman Italic" w:hAnsi="Times New Roman Italic" w:cs="Times New Roman Italic"/>
          <w:i/>
          <w:iCs/>
          <w:color w:val="000000"/>
        </w:rPr>
        <w:t>et al.</w:t>
      </w:r>
      <w:r>
        <w:rPr>
          <w:color w:val="000000"/>
        </w:rPr>
        <w:t>, 2019). </w:t>
      </w:r>
    </w:p>
    <w:p w:rsidR="00BB71F3" w:rsidRDefault="00BB71F3">
      <w:pPr>
        <w:pStyle w:val="NormalWeb"/>
        <w:spacing w:before="240" w:beforeAutospacing="0" w:after="0" w:afterAutospacing="0" w:line="360" w:lineRule="auto"/>
        <w:jc w:val="both"/>
        <w:rPr>
          <w:color w:val="000000"/>
        </w:rPr>
      </w:pPr>
    </w:p>
    <w:p w:rsidR="00BB71F3" w:rsidRDefault="00BA4190">
      <w:pPr>
        <w:rPr>
          <w:b/>
          <w:color w:val="1F3864"/>
          <w:sz w:val="28"/>
          <w:szCs w:val="28"/>
        </w:rPr>
      </w:pPr>
      <w:r>
        <w:rPr>
          <w:b/>
          <w:color w:val="1F3864"/>
          <w:sz w:val="28"/>
          <w:szCs w:val="28"/>
        </w:rPr>
        <w:t>4. CONCLU</w:t>
      </w:r>
      <w:r>
        <w:rPr>
          <w:b/>
          <w:color w:val="1F3864"/>
          <w:sz w:val="28"/>
          <w:szCs w:val="28"/>
        </w:rPr>
        <w:t>SÃO</w:t>
      </w:r>
    </w:p>
    <w:p w:rsidR="00BB71F3" w:rsidRDefault="00BA4190">
      <w:pPr>
        <w:pStyle w:val="NormalWeb"/>
        <w:spacing w:before="240" w:beforeAutospacing="0" w:after="240" w:afterAutospacing="0" w:line="360" w:lineRule="auto"/>
        <w:ind w:firstLine="720"/>
        <w:jc w:val="both"/>
        <w:rPr>
          <w:color w:val="000000"/>
        </w:rPr>
      </w:pPr>
      <w:r>
        <w:rPr>
          <w:color w:val="000000"/>
        </w:rPr>
        <w:t>A acupuntura é uma terapia segura e, apesar de alguns dados conflitantes, podemos concluir que há evidências suficientes na literatura para afirmarmos que essa prática traz benefícios ao tratamento de pacientes portadores da FM. Essa técnica resulta em</w:t>
      </w:r>
      <w:r>
        <w:rPr>
          <w:color w:val="000000"/>
        </w:rPr>
        <w:t xml:space="preserve"> alívio da dor, depressão, diminuição da ansiedade, melhora da qualidade do sono e aumenta qualidade de vida no geral dos pacientes submetidos a essa terapia. Portanto, a abordagem do paciente com fibromialgia por meio de tratamento multiprofissional que i</w:t>
      </w:r>
      <w:r>
        <w:rPr>
          <w:color w:val="000000"/>
        </w:rPr>
        <w:t>nclua a acupuntura em associação com terapêuticas tradicionais é extremamente positiva e deve ser encorajada.</w:t>
      </w:r>
    </w:p>
    <w:p w:rsidR="00BB71F3" w:rsidRDefault="00BB71F3">
      <w:pPr>
        <w:rPr>
          <w:b/>
          <w:color w:val="1F3864"/>
          <w:sz w:val="28"/>
          <w:szCs w:val="28"/>
        </w:rPr>
      </w:pPr>
    </w:p>
    <w:p w:rsidR="00BB71F3" w:rsidRDefault="00BA4190">
      <w:pPr>
        <w:rPr>
          <w:b/>
          <w:color w:val="1F3864"/>
          <w:sz w:val="28"/>
          <w:szCs w:val="28"/>
        </w:rPr>
      </w:pPr>
      <w:r>
        <w:rPr>
          <w:b/>
          <w:color w:val="1F3864"/>
          <w:sz w:val="28"/>
          <w:szCs w:val="28"/>
        </w:rPr>
        <w:lastRenderedPageBreak/>
        <w:t>5. REFERÊNCIAS</w:t>
      </w:r>
    </w:p>
    <w:p w:rsidR="00BB71F3" w:rsidRDefault="00BA4190" w:rsidP="008D0F1E">
      <w:pPr>
        <w:pStyle w:val="NormalWeb"/>
        <w:shd w:val="clear" w:color="auto" w:fill="FFFFFF"/>
        <w:spacing w:before="0" w:beforeAutospacing="0" w:afterLines="150" w:afterAutospacing="0"/>
        <w:jc w:val="both"/>
        <w:rPr>
          <w:bCs/>
        </w:rPr>
      </w:pPr>
      <w:r>
        <w:rPr>
          <w:bCs/>
          <w:color w:val="000000"/>
          <w:sz w:val="20"/>
          <w:szCs w:val="20"/>
          <w:lang w:val="en-US"/>
        </w:rPr>
        <w:t xml:space="preserve">BAI, Y. </w:t>
      </w:r>
      <w:r>
        <w:rPr>
          <w:bCs/>
          <w:i/>
          <w:iCs/>
          <w:color w:val="000000"/>
          <w:sz w:val="20"/>
          <w:szCs w:val="20"/>
          <w:lang w:val="en-US"/>
        </w:rPr>
        <w:t>et al</w:t>
      </w:r>
      <w:r>
        <w:rPr>
          <w:bCs/>
          <w:color w:val="000000"/>
          <w:sz w:val="20"/>
          <w:szCs w:val="20"/>
          <w:lang w:val="en-US"/>
        </w:rPr>
        <w:t xml:space="preserve">. Efficacy of acupuncture on fibromyalgia syndrome: a meta-analysis. </w:t>
      </w:r>
      <w:r>
        <w:rPr>
          <w:bCs/>
          <w:color w:val="000000"/>
          <w:sz w:val="20"/>
          <w:szCs w:val="20"/>
        </w:rPr>
        <w:t xml:space="preserve">Journal of Traditional Chinese Medicine, v. 34, </w:t>
      </w:r>
      <w:r>
        <w:rPr>
          <w:bCs/>
          <w:color w:val="000000"/>
          <w:sz w:val="20"/>
          <w:szCs w:val="20"/>
        </w:rPr>
        <w:t>n. 4, p. 381–391, 2014.</w:t>
      </w:r>
    </w:p>
    <w:p w:rsidR="00BB71F3" w:rsidRDefault="00BA4190" w:rsidP="008D0F1E">
      <w:pPr>
        <w:pStyle w:val="NormalWeb"/>
        <w:shd w:val="clear" w:color="auto" w:fill="FFFFFF"/>
        <w:spacing w:before="0" w:beforeAutospacing="0" w:afterLines="150" w:afterAutospacing="0"/>
        <w:jc w:val="both"/>
        <w:rPr>
          <w:bCs/>
        </w:rPr>
      </w:pPr>
      <w:r>
        <w:rPr>
          <w:bCs/>
          <w:color w:val="000000"/>
          <w:sz w:val="20"/>
          <w:szCs w:val="20"/>
          <w:lang w:val="en-US"/>
        </w:rPr>
        <w:t xml:space="preserve">BIDONDE, J. </w:t>
      </w:r>
      <w:r>
        <w:rPr>
          <w:bCs/>
          <w:i/>
          <w:iCs/>
          <w:color w:val="000000"/>
          <w:sz w:val="20"/>
          <w:szCs w:val="20"/>
          <w:lang w:val="en-US"/>
        </w:rPr>
        <w:t>et al.</w:t>
      </w:r>
      <w:r>
        <w:rPr>
          <w:bCs/>
          <w:color w:val="000000"/>
          <w:sz w:val="20"/>
          <w:szCs w:val="20"/>
          <w:lang w:val="en-US"/>
        </w:rPr>
        <w:t xml:space="preserve"> Aerobic exercise training for adults with fibromyalgia. </w:t>
      </w:r>
      <w:r>
        <w:rPr>
          <w:bCs/>
          <w:color w:val="000000"/>
          <w:sz w:val="20"/>
          <w:szCs w:val="20"/>
        </w:rPr>
        <w:t>Cochrane Database of Systematic Reviews, n. 6, 2017. </w:t>
      </w:r>
    </w:p>
    <w:p w:rsidR="00BB71F3" w:rsidRDefault="00BA4190" w:rsidP="008D0F1E">
      <w:pPr>
        <w:pStyle w:val="NormalWeb"/>
        <w:shd w:val="clear" w:color="auto" w:fill="FFFFFF"/>
        <w:spacing w:before="0" w:beforeAutospacing="0" w:afterLines="150" w:afterAutospacing="0"/>
        <w:jc w:val="both"/>
        <w:rPr>
          <w:bCs/>
        </w:rPr>
      </w:pPr>
      <w:r>
        <w:rPr>
          <w:bCs/>
          <w:color w:val="000000"/>
          <w:sz w:val="20"/>
          <w:szCs w:val="20"/>
          <w:shd w:val="clear" w:color="auto" w:fill="FFFFFF"/>
          <w:lang w:val="en-US"/>
        </w:rPr>
        <w:t xml:space="preserve">CHINN, S. </w:t>
      </w:r>
      <w:r>
        <w:rPr>
          <w:bCs/>
          <w:i/>
          <w:iCs/>
          <w:color w:val="000000"/>
          <w:sz w:val="20"/>
          <w:szCs w:val="20"/>
          <w:shd w:val="clear" w:color="auto" w:fill="FFFFFF"/>
          <w:lang w:val="en-US"/>
        </w:rPr>
        <w:t>et al.</w:t>
      </w:r>
      <w:r>
        <w:rPr>
          <w:bCs/>
          <w:color w:val="000000"/>
          <w:sz w:val="20"/>
          <w:szCs w:val="20"/>
          <w:shd w:val="clear" w:color="auto" w:fill="FFFFFF"/>
          <w:lang w:val="en-US"/>
        </w:rPr>
        <w:t xml:space="preserve"> Fibromyalgia pathogenesis and treatment options update. </w:t>
      </w:r>
      <w:r>
        <w:rPr>
          <w:bCs/>
          <w:color w:val="000000"/>
          <w:sz w:val="20"/>
          <w:szCs w:val="20"/>
          <w:shd w:val="clear" w:color="auto" w:fill="FFFFFF"/>
        </w:rPr>
        <w:t>Current Pain Headache Reports,</w:t>
      </w:r>
      <w:r>
        <w:rPr>
          <w:bCs/>
          <w:color w:val="000000"/>
          <w:sz w:val="20"/>
          <w:szCs w:val="20"/>
          <w:shd w:val="clear" w:color="auto" w:fill="FFFFFF"/>
        </w:rPr>
        <w:t xml:space="preserve"> p. 25–25, 2016.</w:t>
      </w:r>
    </w:p>
    <w:p w:rsidR="00BB71F3" w:rsidRDefault="00BA4190" w:rsidP="008D0F1E">
      <w:pPr>
        <w:pStyle w:val="NormalWeb"/>
        <w:spacing w:before="0" w:beforeAutospacing="0" w:afterLines="150" w:afterAutospacing="0"/>
        <w:jc w:val="both"/>
        <w:rPr>
          <w:bCs/>
          <w:lang w:val="en-US"/>
        </w:rPr>
      </w:pPr>
      <w:r>
        <w:rPr>
          <w:bCs/>
          <w:color w:val="000000"/>
          <w:sz w:val="20"/>
          <w:szCs w:val="20"/>
          <w:shd w:val="clear" w:color="auto" w:fill="FFFFFF"/>
          <w:lang w:val="en-US"/>
        </w:rPr>
        <w:t>DEARE, J.C.</w:t>
      </w:r>
      <w:r>
        <w:rPr>
          <w:bCs/>
          <w:i/>
          <w:iCs/>
          <w:color w:val="000000"/>
          <w:sz w:val="20"/>
          <w:szCs w:val="20"/>
          <w:shd w:val="clear" w:color="auto" w:fill="FFFFFF"/>
          <w:lang w:val="en-US"/>
        </w:rPr>
        <w:t xml:space="preserve"> et al</w:t>
      </w:r>
      <w:r>
        <w:rPr>
          <w:bCs/>
          <w:color w:val="000000"/>
          <w:sz w:val="20"/>
          <w:szCs w:val="20"/>
          <w:shd w:val="clear" w:color="auto" w:fill="FFFFFF"/>
          <w:lang w:val="en-US"/>
        </w:rPr>
        <w:t>. Acupuncture for treating fibromyalgia. Cochrane Database of Systematic Reviews, n. 5, 2013. </w:t>
      </w:r>
    </w:p>
    <w:p w:rsidR="00BB71F3" w:rsidRDefault="00BA4190" w:rsidP="008D0F1E">
      <w:pPr>
        <w:pStyle w:val="NormalWeb"/>
        <w:shd w:val="clear" w:color="auto" w:fill="FFFFFF"/>
        <w:spacing w:before="0" w:beforeAutospacing="0" w:afterLines="150" w:afterAutospacing="0"/>
        <w:jc w:val="both"/>
        <w:rPr>
          <w:bCs/>
          <w:color w:val="000000"/>
          <w:sz w:val="20"/>
          <w:szCs w:val="20"/>
        </w:rPr>
      </w:pPr>
      <w:r>
        <w:rPr>
          <w:bCs/>
          <w:color w:val="000000"/>
          <w:sz w:val="20"/>
          <w:szCs w:val="20"/>
          <w:lang w:val="en-US"/>
        </w:rPr>
        <w:t xml:space="preserve">HAN, M. </w:t>
      </w:r>
      <w:r>
        <w:rPr>
          <w:bCs/>
          <w:i/>
          <w:iCs/>
          <w:color w:val="000000"/>
          <w:sz w:val="20"/>
          <w:szCs w:val="20"/>
          <w:lang w:val="en-US"/>
        </w:rPr>
        <w:t xml:space="preserve">et al. </w:t>
      </w:r>
      <w:r>
        <w:rPr>
          <w:bCs/>
          <w:color w:val="000000"/>
          <w:sz w:val="20"/>
          <w:szCs w:val="20"/>
          <w:lang w:val="en-US"/>
        </w:rPr>
        <w:t xml:space="preserve">Acupuncture for primary fibromyalgia: study protocol of a randomized controlled trial. </w:t>
      </w:r>
      <w:r>
        <w:rPr>
          <w:bCs/>
          <w:color w:val="000000"/>
          <w:sz w:val="20"/>
          <w:szCs w:val="20"/>
        </w:rPr>
        <w:t>Trials, v. 21, n. 1, 2020</w:t>
      </w:r>
      <w:r>
        <w:rPr>
          <w:bCs/>
          <w:color w:val="000000"/>
          <w:sz w:val="20"/>
          <w:szCs w:val="20"/>
        </w:rPr>
        <w:t>.</w:t>
      </w:r>
    </w:p>
    <w:p w:rsidR="00BB71F3" w:rsidRDefault="00BA4190" w:rsidP="008D0F1E">
      <w:pPr>
        <w:pStyle w:val="NormalWeb"/>
        <w:shd w:val="clear" w:color="auto" w:fill="FFFFFF"/>
        <w:spacing w:before="0" w:beforeAutospacing="0" w:afterLines="150" w:afterAutospacing="0"/>
        <w:jc w:val="both"/>
        <w:rPr>
          <w:bCs/>
        </w:rPr>
      </w:pPr>
      <w:r>
        <w:rPr>
          <w:bCs/>
          <w:color w:val="000000"/>
          <w:sz w:val="20"/>
          <w:szCs w:val="20"/>
          <w:lang w:val="en-US"/>
        </w:rPr>
        <w:t xml:space="preserve">HEYMANN, R.E. </w:t>
      </w:r>
      <w:r>
        <w:rPr>
          <w:bCs/>
          <w:i/>
          <w:iCs/>
          <w:color w:val="000000"/>
          <w:sz w:val="20"/>
          <w:szCs w:val="20"/>
          <w:lang w:val="en-US"/>
        </w:rPr>
        <w:t>et al</w:t>
      </w:r>
      <w:r>
        <w:rPr>
          <w:bCs/>
          <w:color w:val="000000"/>
          <w:sz w:val="20"/>
          <w:szCs w:val="20"/>
          <w:lang w:val="en-US"/>
        </w:rPr>
        <w:t xml:space="preserve">. </w:t>
      </w:r>
      <w:r>
        <w:rPr>
          <w:bCs/>
          <w:color w:val="000000"/>
          <w:sz w:val="20"/>
          <w:szCs w:val="20"/>
        </w:rPr>
        <w:t>Novas diretrizes para o diagnóstico da fibromialgia. Revista Brasileira de Reumatologia, v. 57, p. 467-476, 2017.</w:t>
      </w:r>
    </w:p>
    <w:p w:rsidR="00BB71F3" w:rsidRDefault="00BA4190" w:rsidP="008D0F1E">
      <w:pPr>
        <w:pStyle w:val="NormalWeb"/>
        <w:shd w:val="clear" w:color="auto" w:fill="FFFFFF"/>
        <w:spacing w:before="0" w:beforeAutospacing="0" w:afterLines="150" w:afterAutospacing="0"/>
        <w:jc w:val="both"/>
        <w:rPr>
          <w:bCs/>
          <w:color w:val="000000"/>
          <w:sz w:val="20"/>
          <w:szCs w:val="20"/>
          <w:lang w:val="en-US"/>
        </w:rPr>
      </w:pPr>
      <w:r>
        <w:rPr>
          <w:bCs/>
          <w:color w:val="000000"/>
          <w:sz w:val="20"/>
          <w:szCs w:val="20"/>
          <w:lang w:val="en-US"/>
        </w:rPr>
        <w:t>KARATAY, S. et al. Effects of acupuncture treatment on fibromyalgia symptoms, serotonin, and substance P levels: a rand</w:t>
      </w:r>
      <w:r>
        <w:rPr>
          <w:bCs/>
          <w:color w:val="000000"/>
          <w:sz w:val="20"/>
          <w:szCs w:val="20"/>
          <w:lang w:val="en-US"/>
        </w:rPr>
        <w:t>omized sham and placebo-controlled clinical trial. Pain Medicine, v. 19, n. 3, p. 615–628, 2017.</w:t>
      </w:r>
    </w:p>
    <w:p w:rsidR="00BB71F3" w:rsidRDefault="00BA4190" w:rsidP="008D0F1E">
      <w:pPr>
        <w:pStyle w:val="NormalWeb"/>
        <w:shd w:val="clear" w:color="auto" w:fill="FFFFFF"/>
        <w:spacing w:before="0" w:beforeAutospacing="0" w:afterLines="150" w:afterAutospacing="0"/>
        <w:jc w:val="both"/>
        <w:rPr>
          <w:bCs/>
          <w:color w:val="000000"/>
          <w:sz w:val="20"/>
          <w:szCs w:val="20"/>
          <w:lang w:val="en-US"/>
        </w:rPr>
      </w:pPr>
      <w:r>
        <w:rPr>
          <w:bCs/>
          <w:color w:val="000000"/>
          <w:sz w:val="20"/>
          <w:szCs w:val="20"/>
          <w:lang w:val="en-US"/>
        </w:rPr>
        <w:t>KELLY, R.B. &amp; WILLIS, J. Acupuncture for pain. American Family Physician, v. 100, n. 2, p. 89-96, 2019.</w:t>
      </w:r>
    </w:p>
    <w:p w:rsidR="00BB71F3" w:rsidRDefault="00BA4190" w:rsidP="008D0F1E">
      <w:pPr>
        <w:pStyle w:val="NormalWeb"/>
        <w:shd w:val="clear" w:color="auto" w:fill="FFFFFF"/>
        <w:spacing w:before="0" w:beforeAutospacing="0" w:afterLines="150" w:afterAutospacing="0"/>
        <w:jc w:val="both"/>
        <w:rPr>
          <w:bCs/>
          <w:color w:val="000000"/>
          <w:sz w:val="20"/>
          <w:szCs w:val="20"/>
          <w:lang w:val="en-US"/>
        </w:rPr>
      </w:pPr>
      <w:r>
        <w:rPr>
          <w:bCs/>
          <w:color w:val="000000"/>
          <w:sz w:val="20"/>
          <w:szCs w:val="20"/>
          <w:lang w:val="en-US"/>
        </w:rPr>
        <w:t xml:space="preserve">KIM, J. et al. Comparing verum and sham acupuncture in </w:t>
      </w:r>
      <w:r>
        <w:rPr>
          <w:bCs/>
          <w:color w:val="000000"/>
          <w:sz w:val="20"/>
          <w:szCs w:val="20"/>
          <w:lang w:val="en-US"/>
        </w:rPr>
        <w:t>fibromyalgia syndrome: a systematic review and meta-analysis. Evidence-Based Complementary and Alternative Medicine, v. 2019, p. 1–13, 2019.</w:t>
      </w:r>
    </w:p>
    <w:p w:rsidR="00BB71F3" w:rsidRDefault="00BA4190" w:rsidP="008D0F1E">
      <w:pPr>
        <w:pStyle w:val="NormalWeb"/>
        <w:shd w:val="clear" w:color="auto" w:fill="FFFFFF"/>
        <w:spacing w:before="0" w:beforeAutospacing="0" w:afterLines="150" w:afterAutospacing="0"/>
        <w:jc w:val="both"/>
        <w:rPr>
          <w:bCs/>
          <w:color w:val="000000"/>
          <w:sz w:val="20"/>
          <w:szCs w:val="20"/>
          <w:lang w:val="en-US"/>
        </w:rPr>
      </w:pPr>
      <w:r>
        <w:rPr>
          <w:bCs/>
          <w:color w:val="000000"/>
          <w:sz w:val="20"/>
          <w:szCs w:val="20"/>
          <w:lang w:val="en-US"/>
        </w:rPr>
        <w:t>MARTÍNEZ, N.R. &amp; MACÍAS, M.A. Acupuntura en el manejo complementario de la fibromialgia. Revista Colombiana de Reum</w:t>
      </w:r>
      <w:r>
        <w:rPr>
          <w:bCs/>
          <w:color w:val="000000"/>
          <w:sz w:val="20"/>
          <w:szCs w:val="20"/>
          <w:lang w:val="en-US"/>
        </w:rPr>
        <w:t>atología, v. 19, n. 1, p. 27-39, 2012.</w:t>
      </w:r>
    </w:p>
    <w:p w:rsidR="00BB71F3" w:rsidRDefault="00BA4190" w:rsidP="008D0F1E">
      <w:pPr>
        <w:pStyle w:val="NormalWeb"/>
        <w:shd w:val="clear" w:color="auto" w:fill="FFFFFF"/>
        <w:spacing w:before="0" w:beforeAutospacing="0" w:afterLines="150" w:afterAutospacing="0"/>
        <w:jc w:val="both"/>
        <w:rPr>
          <w:bCs/>
          <w:color w:val="000000"/>
          <w:sz w:val="20"/>
          <w:szCs w:val="20"/>
          <w:lang w:val="en-US"/>
        </w:rPr>
      </w:pPr>
      <w:r>
        <w:rPr>
          <w:bCs/>
          <w:color w:val="000000"/>
          <w:sz w:val="20"/>
          <w:szCs w:val="20"/>
          <w:lang w:val="en-US"/>
        </w:rPr>
        <w:t>OLIVEIRA JÚNIOR, J.O. &amp; RAMOS, J.V.C. Adherence to fibromyalgia treatment: challenges and impact on the quality of life. Brazilian Journal Of Pain, v. 2, n. 1, 2019.</w:t>
      </w:r>
    </w:p>
    <w:p w:rsidR="00BB71F3" w:rsidRDefault="00BA4190" w:rsidP="008D0F1E">
      <w:pPr>
        <w:pStyle w:val="NormalWeb"/>
        <w:shd w:val="clear" w:color="auto" w:fill="FFFFFF"/>
        <w:spacing w:before="0" w:beforeAutospacing="0" w:afterLines="150" w:afterAutospacing="0"/>
        <w:jc w:val="both"/>
        <w:rPr>
          <w:bCs/>
          <w:color w:val="000000"/>
          <w:sz w:val="20"/>
          <w:szCs w:val="20"/>
          <w:lang w:val="en-US"/>
        </w:rPr>
      </w:pPr>
      <w:r>
        <w:rPr>
          <w:bCs/>
          <w:color w:val="000000"/>
          <w:sz w:val="20"/>
          <w:szCs w:val="20"/>
          <w:lang w:val="en-US"/>
        </w:rPr>
        <w:t>OZEN, S. et al. A comparison of physical therapy mo</w:t>
      </w:r>
      <w:r>
        <w:rPr>
          <w:bCs/>
          <w:color w:val="000000"/>
          <w:sz w:val="20"/>
          <w:szCs w:val="20"/>
          <w:lang w:val="en-US"/>
        </w:rPr>
        <w:t>dalities versus acupuncture in the treatment of fibromyalgia syndrome: a pilot study. Journal of Alternative and Complementary Medicine, p. 296–304, 2019.</w:t>
      </w:r>
    </w:p>
    <w:p w:rsidR="00BB71F3" w:rsidRDefault="00BA4190" w:rsidP="008D0F1E">
      <w:pPr>
        <w:pStyle w:val="NormalWeb"/>
        <w:shd w:val="clear" w:color="auto" w:fill="FFFFFF"/>
        <w:spacing w:before="0" w:beforeAutospacing="0" w:afterLines="150" w:afterAutospacing="0"/>
        <w:jc w:val="both"/>
        <w:rPr>
          <w:bCs/>
          <w:color w:val="000000"/>
          <w:sz w:val="20"/>
          <w:szCs w:val="20"/>
          <w:lang w:val="en-US"/>
        </w:rPr>
      </w:pPr>
      <w:r>
        <w:rPr>
          <w:bCs/>
          <w:color w:val="000000"/>
          <w:sz w:val="20"/>
          <w:szCs w:val="20"/>
          <w:lang w:val="en-US"/>
        </w:rPr>
        <w:t>PATEL, M. et al. The role of acupuncture in the treatment of chronic pain. Best Practice &amp; Research C</w:t>
      </w:r>
      <w:r>
        <w:rPr>
          <w:bCs/>
          <w:color w:val="000000"/>
          <w:sz w:val="20"/>
          <w:szCs w:val="20"/>
          <w:lang w:val="en-US"/>
        </w:rPr>
        <w:t>linical Anaesthesiology, v. 34, n. 3, p. 603–616, 2020.</w:t>
      </w:r>
    </w:p>
    <w:p w:rsidR="00BB71F3" w:rsidRDefault="00BA4190" w:rsidP="008D0F1E">
      <w:pPr>
        <w:pStyle w:val="NormalWeb"/>
        <w:shd w:val="clear" w:color="auto" w:fill="FFFFFF"/>
        <w:spacing w:before="0" w:beforeAutospacing="0" w:afterLines="150" w:afterAutospacing="0"/>
        <w:jc w:val="both"/>
        <w:rPr>
          <w:bCs/>
          <w:color w:val="000000"/>
          <w:sz w:val="20"/>
          <w:szCs w:val="20"/>
          <w:lang w:val="en-US"/>
        </w:rPr>
      </w:pPr>
      <w:r>
        <w:rPr>
          <w:bCs/>
          <w:color w:val="000000"/>
          <w:sz w:val="20"/>
          <w:szCs w:val="20"/>
          <w:lang w:val="en-US"/>
        </w:rPr>
        <w:t>PEREIRA, H.S.S. et. al. Efeitos da acupuntura na fibromialgia: revisão integrativa. Jornal Brasileiro da Dor, v. 4, n. 1, 2021.</w:t>
      </w:r>
    </w:p>
    <w:p w:rsidR="00BB71F3" w:rsidRDefault="00BA4190" w:rsidP="008D0F1E">
      <w:pPr>
        <w:pStyle w:val="NormalWeb"/>
        <w:shd w:val="clear" w:color="auto" w:fill="FFFFFF"/>
        <w:spacing w:before="0" w:beforeAutospacing="0" w:afterLines="150" w:afterAutospacing="0"/>
        <w:jc w:val="both"/>
        <w:rPr>
          <w:bCs/>
          <w:color w:val="000000"/>
          <w:sz w:val="20"/>
          <w:szCs w:val="20"/>
          <w:lang w:val="en-US"/>
        </w:rPr>
      </w:pPr>
      <w:r>
        <w:rPr>
          <w:bCs/>
          <w:color w:val="000000"/>
          <w:sz w:val="20"/>
          <w:szCs w:val="20"/>
          <w:lang w:val="en-US"/>
        </w:rPr>
        <w:t xml:space="preserve">PRABHAKAR, A. et al. The role of complementary and alternative medicine </w:t>
      </w:r>
      <w:r>
        <w:rPr>
          <w:bCs/>
          <w:color w:val="000000"/>
          <w:sz w:val="20"/>
          <w:szCs w:val="20"/>
          <w:lang w:val="en-US"/>
        </w:rPr>
        <w:t>treatments in fibromyalgia: a comprehensive review. Current Rheumatology Reports, v. 21, n. 5, 2019.</w:t>
      </w:r>
    </w:p>
    <w:p w:rsidR="00BB71F3" w:rsidRDefault="00BA4190" w:rsidP="008D0F1E">
      <w:pPr>
        <w:pStyle w:val="NormalWeb"/>
        <w:shd w:val="clear" w:color="auto" w:fill="FFFFFF"/>
        <w:spacing w:before="0" w:beforeAutospacing="0" w:afterLines="150" w:afterAutospacing="0"/>
        <w:jc w:val="both"/>
        <w:rPr>
          <w:bCs/>
        </w:rPr>
      </w:pPr>
      <w:r>
        <w:rPr>
          <w:bCs/>
          <w:color w:val="000000"/>
          <w:sz w:val="20"/>
          <w:szCs w:val="20"/>
          <w:lang w:val="en-US"/>
        </w:rPr>
        <w:t>STIVAL, R.S.M. et al. Acupuntura na fibromialgia: um estudo randomizado‐controlado abordando a resposta imediata da dor. Revista Brasileira de Reumatologia</w:t>
      </w:r>
      <w:r>
        <w:rPr>
          <w:bCs/>
          <w:color w:val="000000"/>
          <w:sz w:val="20"/>
          <w:szCs w:val="20"/>
          <w:lang w:val="en-US"/>
        </w:rPr>
        <w:t>, v. 54, n. 6, p. 431–436, 2014.</w:t>
      </w:r>
      <w:bookmarkStart w:id="0" w:name="_GoBack"/>
      <w:bookmarkEnd w:id="0"/>
    </w:p>
    <w:sectPr w:rsidR="00BB71F3" w:rsidSect="00BB71F3">
      <w:headerReference w:type="default" r:id="rId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190" w:rsidRDefault="00BA4190" w:rsidP="00BB71F3">
      <w:pPr>
        <w:spacing w:after="0" w:line="240" w:lineRule="auto"/>
      </w:pPr>
      <w:r>
        <w:separator/>
      </w:r>
    </w:p>
  </w:endnote>
  <w:endnote w:type="continuationSeparator" w:id="1">
    <w:p w:rsidR="00BA4190" w:rsidRDefault="00BA4190" w:rsidP="00BB7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苹方-简"/>
    <w:panose1 w:val="020B0502040204020203"/>
    <w:charset w:val="00"/>
    <w:family w:val="swiss"/>
    <w:pitch w:val="variable"/>
    <w:sig w:usb0="E4002EFF" w:usb1="C000E47F" w:usb2="00000009" w:usb3="00000000" w:csb0="000001FF" w:csb1="00000000"/>
  </w:font>
  <w:font w:name="Calibri Light">
    <w:altName w:val="Helvetica Neue"/>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charset w:val="00"/>
    <w:family w:val="auto"/>
    <w:pitch w:val="default"/>
    <w:sig w:usb0="00000000" w:usb1="00007843"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190" w:rsidRDefault="00BA4190" w:rsidP="00BB71F3">
      <w:pPr>
        <w:spacing w:after="0" w:line="240" w:lineRule="auto"/>
      </w:pPr>
      <w:r>
        <w:separator/>
      </w:r>
    </w:p>
  </w:footnote>
  <w:footnote w:type="continuationSeparator" w:id="1">
    <w:p w:rsidR="00BA4190" w:rsidRDefault="00BA4190" w:rsidP="00BB7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F3" w:rsidRDefault="00BA4190">
    <w:pPr>
      <w:pStyle w:val="Cabealho"/>
    </w:pPr>
    <w:r>
      <w:rPr>
        <w:noProof/>
        <w:lang w:eastAsia="pt-BR"/>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-447675</wp:posOffset>
          </wp:positionV>
          <wp:extent cx="2752725" cy="895350"/>
          <wp:effectExtent l="0" t="0" r="15875" b="19050"/>
          <wp:wrapNone/>
          <wp:docPr id="3" name="Picture 2" descr="WhatsApp Image 2021-04-11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hatsApp Image 2021-04-11 at 20"/>
                  <pic:cNvPicPr>
                    <a:picLocks noChangeAspect="1"/>
                  </pic:cNvPicPr>
                </pic:nvPicPr>
                <pic:blipFill>
                  <a:blip r:embed="rId1"/>
                  <a:srcRect t="13086" r="52296" b="49001"/>
                  <a:stretch>
                    <a:fillRect/>
                  </a:stretch>
                </pic:blipFill>
                <pic:spPr>
                  <a:xfrm>
                    <a:off x="0" y="0"/>
                    <a:ext cx="2752725" cy="895350"/>
                  </a:xfrm>
                  <a:prstGeom prst="rect">
                    <a:avLst/>
                  </a:prstGeom>
                  <a:noFill/>
                  <a:ln w="9525">
                    <a:noFill/>
                  </a:ln>
                </pic:spPr>
              </pic:pic>
            </a:graphicData>
          </a:graphic>
        </wp:anchor>
      </w:drawing>
    </w:r>
    <w:r>
      <w:rPr>
        <w:noProof/>
        <w:lang w:eastAsia="pt-BR"/>
      </w:rPr>
      <w:drawing>
        <wp:anchor distT="0" distB="0" distL="114300" distR="114300" simplePos="0" relativeHeight="251658240" behindDoc="1" locked="0" layoutInCell="1" allowOverlap="1">
          <wp:simplePos x="0" y="0"/>
          <wp:positionH relativeFrom="column">
            <wp:posOffset>-2718435</wp:posOffset>
          </wp:positionH>
          <wp:positionV relativeFrom="paragraph">
            <wp:posOffset>-438150</wp:posOffset>
          </wp:positionV>
          <wp:extent cx="9201150" cy="885825"/>
          <wp:effectExtent l="0" t="0" r="19050" b="3175"/>
          <wp:wrapNone/>
          <wp:docPr id="2" name="Picture 1" descr="WhatsApp Image 2021-04-11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hatsApp Image 2021-04-11 at 20"/>
                  <pic:cNvPicPr>
                    <a:picLocks noChangeAspect="1"/>
                  </pic:cNvPicPr>
                </pic:nvPicPr>
                <pic:blipFill>
                  <a:blip r:embed="rId1"/>
                  <a:srcRect t="12250" b="48500"/>
                  <a:stretch>
                    <a:fillRect/>
                  </a:stretch>
                </pic:blipFill>
                <pic:spPr>
                  <a:xfrm>
                    <a:off x="0" y="0"/>
                    <a:ext cx="9201150" cy="885825"/>
                  </a:xfrm>
                  <a:prstGeom prst="rect">
                    <a:avLst/>
                  </a:prstGeom>
                  <a:noFill/>
                  <a:ln w="9525">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hyphenationZone w:val="425"/>
  <w:drawingGridHorizontalSpacing w:val="110"/>
  <w:noPunctuationKerning/>
  <w:characterSpacingControl w:val="doNotCompress"/>
  <w:footnotePr>
    <w:footnote w:id="0"/>
    <w:footnote w:id="1"/>
  </w:footnotePr>
  <w:endnotePr>
    <w:endnote w:id="0"/>
    <w:endnote w:id="1"/>
  </w:endnotePr>
  <w:compat>
    <w:doNotExpandShiftReturn/>
    <w:useFELayout/>
  </w:compat>
  <w:rsids>
    <w:rsidRoot w:val="00D21294"/>
    <w:rsid w:val="EFFF2651"/>
    <w:rsid w:val="F2FA6965"/>
    <w:rsid w:val="FFCF7100"/>
    <w:rsid w:val="00002C1B"/>
    <w:rsid w:val="00032567"/>
    <w:rsid w:val="00046CC9"/>
    <w:rsid w:val="00057EFE"/>
    <w:rsid w:val="00075B4B"/>
    <w:rsid w:val="00084920"/>
    <w:rsid w:val="000C056B"/>
    <w:rsid w:val="000C0C58"/>
    <w:rsid w:val="000C1D39"/>
    <w:rsid w:val="000E0316"/>
    <w:rsid w:val="000F4AD6"/>
    <w:rsid w:val="00100402"/>
    <w:rsid w:val="00145C49"/>
    <w:rsid w:val="001E3597"/>
    <w:rsid w:val="001E3EAB"/>
    <w:rsid w:val="00201CB4"/>
    <w:rsid w:val="002155BA"/>
    <w:rsid w:val="00216625"/>
    <w:rsid w:val="00291343"/>
    <w:rsid w:val="002976E8"/>
    <w:rsid w:val="002A2282"/>
    <w:rsid w:val="002E7183"/>
    <w:rsid w:val="002F2D71"/>
    <w:rsid w:val="003137E6"/>
    <w:rsid w:val="00331C41"/>
    <w:rsid w:val="003569E5"/>
    <w:rsid w:val="00375437"/>
    <w:rsid w:val="00393A30"/>
    <w:rsid w:val="003E0B47"/>
    <w:rsid w:val="003E2E30"/>
    <w:rsid w:val="0042480A"/>
    <w:rsid w:val="004605BF"/>
    <w:rsid w:val="0046332E"/>
    <w:rsid w:val="00472A32"/>
    <w:rsid w:val="00505C83"/>
    <w:rsid w:val="005109FA"/>
    <w:rsid w:val="00527677"/>
    <w:rsid w:val="005B6466"/>
    <w:rsid w:val="005E31FC"/>
    <w:rsid w:val="006351C5"/>
    <w:rsid w:val="006432EC"/>
    <w:rsid w:val="00650869"/>
    <w:rsid w:val="00676666"/>
    <w:rsid w:val="00690E77"/>
    <w:rsid w:val="00696324"/>
    <w:rsid w:val="006D3AA2"/>
    <w:rsid w:val="007023D5"/>
    <w:rsid w:val="0070619E"/>
    <w:rsid w:val="0072113D"/>
    <w:rsid w:val="00742845"/>
    <w:rsid w:val="007464E1"/>
    <w:rsid w:val="00754659"/>
    <w:rsid w:val="00773D8C"/>
    <w:rsid w:val="007B24AB"/>
    <w:rsid w:val="007B6108"/>
    <w:rsid w:val="007B7EF6"/>
    <w:rsid w:val="007E247C"/>
    <w:rsid w:val="00806D59"/>
    <w:rsid w:val="008255BD"/>
    <w:rsid w:val="008676B2"/>
    <w:rsid w:val="008C16B5"/>
    <w:rsid w:val="008D0F1E"/>
    <w:rsid w:val="0091395F"/>
    <w:rsid w:val="00940036"/>
    <w:rsid w:val="009406F8"/>
    <w:rsid w:val="0095403B"/>
    <w:rsid w:val="00964E25"/>
    <w:rsid w:val="009959E8"/>
    <w:rsid w:val="00997781"/>
    <w:rsid w:val="009B5ACF"/>
    <w:rsid w:val="009C5D40"/>
    <w:rsid w:val="009E04F5"/>
    <w:rsid w:val="009E051D"/>
    <w:rsid w:val="009F4E15"/>
    <w:rsid w:val="009F71D5"/>
    <w:rsid w:val="00A15DA8"/>
    <w:rsid w:val="00A3444B"/>
    <w:rsid w:val="00A36530"/>
    <w:rsid w:val="00A92DF9"/>
    <w:rsid w:val="00AC1A18"/>
    <w:rsid w:val="00AD0CFD"/>
    <w:rsid w:val="00AF230F"/>
    <w:rsid w:val="00B4251D"/>
    <w:rsid w:val="00B47E53"/>
    <w:rsid w:val="00B77528"/>
    <w:rsid w:val="00B77DD2"/>
    <w:rsid w:val="00B83B11"/>
    <w:rsid w:val="00BA4190"/>
    <w:rsid w:val="00BB71F3"/>
    <w:rsid w:val="00BD1A44"/>
    <w:rsid w:val="00C004DA"/>
    <w:rsid w:val="00C00DB5"/>
    <w:rsid w:val="00C029BB"/>
    <w:rsid w:val="00C10120"/>
    <w:rsid w:val="00C35F21"/>
    <w:rsid w:val="00C53B57"/>
    <w:rsid w:val="00C73B4B"/>
    <w:rsid w:val="00CF27CE"/>
    <w:rsid w:val="00D0456C"/>
    <w:rsid w:val="00D108C2"/>
    <w:rsid w:val="00D21294"/>
    <w:rsid w:val="00DB4213"/>
    <w:rsid w:val="00E2250F"/>
    <w:rsid w:val="00E57D6A"/>
    <w:rsid w:val="00E66212"/>
    <w:rsid w:val="00EA1092"/>
    <w:rsid w:val="00EA11B4"/>
    <w:rsid w:val="00EC2983"/>
    <w:rsid w:val="00ED4253"/>
    <w:rsid w:val="00ED656B"/>
    <w:rsid w:val="00EF059E"/>
    <w:rsid w:val="00F034B4"/>
    <w:rsid w:val="00F12659"/>
    <w:rsid w:val="00F75825"/>
    <w:rsid w:val="00FA4052"/>
    <w:rsid w:val="00FA52D5"/>
    <w:rsid w:val="00FD009F"/>
    <w:rsid w:val="333C54EF"/>
    <w:rsid w:val="57FD03A9"/>
    <w:rsid w:val="66FF5561"/>
    <w:rsid w:val="69FFEF09"/>
    <w:rsid w:val="6D3723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qFormat="1"/>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F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qFormat/>
    <w:rsid w:val="00BB71F3"/>
    <w:pPr>
      <w:spacing w:after="0" w:line="240" w:lineRule="auto"/>
    </w:pPr>
    <w:rPr>
      <w:rFonts w:ascii="Segoe UI" w:hAnsi="Segoe UI"/>
      <w:sz w:val="18"/>
      <w:szCs w:val="18"/>
    </w:rPr>
  </w:style>
  <w:style w:type="paragraph" w:styleId="Textodecomentrio">
    <w:name w:val="annotation text"/>
    <w:basedOn w:val="Normal"/>
    <w:link w:val="TextodecomentrioChar"/>
    <w:uiPriority w:val="99"/>
    <w:unhideWhenUsed/>
    <w:qFormat/>
    <w:rsid w:val="00BB71F3"/>
    <w:rPr>
      <w:sz w:val="20"/>
      <w:szCs w:val="20"/>
    </w:rPr>
  </w:style>
  <w:style w:type="paragraph" w:styleId="Assuntodocomentrio">
    <w:name w:val="annotation subject"/>
    <w:basedOn w:val="Textodecomentrio"/>
    <w:next w:val="Textodecomentrio"/>
    <w:link w:val="AssuntodocomentrioChar"/>
    <w:uiPriority w:val="99"/>
    <w:unhideWhenUsed/>
    <w:qFormat/>
    <w:rsid w:val="00BB71F3"/>
    <w:pPr>
      <w:spacing w:line="240" w:lineRule="auto"/>
    </w:pPr>
    <w:rPr>
      <w:b/>
      <w:bCs/>
    </w:rPr>
  </w:style>
  <w:style w:type="paragraph" w:styleId="Rodap">
    <w:name w:val="footer"/>
    <w:basedOn w:val="Normal"/>
    <w:link w:val="RodapChar"/>
    <w:uiPriority w:val="99"/>
    <w:unhideWhenUsed/>
    <w:qFormat/>
    <w:rsid w:val="00BB71F3"/>
    <w:pPr>
      <w:tabs>
        <w:tab w:val="center" w:pos="4252"/>
        <w:tab w:val="right" w:pos="8504"/>
      </w:tabs>
      <w:spacing w:after="0" w:line="240" w:lineRule="auto"/>
    </w:pPr>
  </w:style>
  <w:style w:type="paragraph" w:styleId="Cabealho">
    <w:name w:val="header"/>
    <w:basedOn w:val="Normal"/>
    <w:link w:val="CabealhoChar"/>
    <w:uiPriority w:val="99"/>
    <w:unhideWhenUsed/>
    <w:qFormat/>
    <w:rsid w:val="00BB71F3"/>
    <w:pPr>
      <w:tabs>
        <w:tab w:val="center" w:pos="4252"/>
        <w:tab w:val="right" w:pos="8504"/>
      </w:tabs>
      <w:spacing w:after="0" w:line="240" w:lineRule="auto"/>
    </w:pPr>
  </w:style>
  <w:style w:type="paragraph" w:styleId="NormalWeb">
    <w:name w:val="Normal (Web)"/>
    <w:basedOn w:val="Normal"/>
    <w:uiPriority w:val="99"/>
    <w:unhideWhenUsed/>
    <w:qFormat/>
    <w:rsid w:val="00BB71F3"/>
    <w:pPr>
      <w:spacing w:before="100" w:beforeAutospacing="1" w:after="100" w:afterAutospacing="1" w:line="240" w:lineRule="auto"/>
    </w:pPr>
    <w:rPr>
      <w:rFonts w:eastAsia="Times New Roman"/>
      <w:sz w:val="24"/>
      <w:szCs w:val="24"/>
      <w:lang w:eastAsia="pt-BR"/>
    </w:rPr>
  </w:style>
  <w:style w:type="character" w:styleId="Refdecomentrio">
    <w:name w:val="annotation reference"/>
    <w:uiPriority w:val="99"/>
    <w:unhideWhenUsed/>
    <w:qFormat/>
    <w:rsid w:val="00BB71F3"/>
    <w:rPr>
      <w:sz w:val="16"/>
      <w:szCs w:val="16"/>
    </w:rPr>
  </w:style>
  <w:style w:type="character" w:styleId="Hyperlink">
    <w:name w:val="Hyperlink"/>
    <w:uiPriority w:val="99"/>
    <w:unhideWhenUsed/>
    <w:qFormat/>
    <w:rsid w:val="00BB71F3"/>
    <w:rPr>
      <w:color w:val="EE7B08"/>
      <w:u w:val="single"/>
    </w:rPr>
  </w:style>
  <w:style w:type="table" w:styleId="SombreamentoClaro">
    <w:name w:val="Light Shading"/>
    <w:basedOn w:val="Tabelanormal"/>
    <w:uiPriority w:val="60"/>
    <w:qFormat/>
    <w:rsid w:val="00BB71F3"/>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SombreamentoClaro-nfase1">
    <w:name w:val="Light Shading Accent 1"/>
    <w:basedOn w:val="Tabelanormal"/>
    <w:uiPriority w:val="60"/>
    <w:qFormat/>
    <w:rsid w:val="00BB71F3"/>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SombreamentoClaro-nfase2">
    <w:name w:val="Light Shading Accent 2"/>
    <w:basedOn w:val="Tabelanormal"/>
    <w:uiPriority w:val="60"/>
    <w:qFormat/>
    <w:rsid w:val="00BB71F3"/>
    <w:rPr>
      <w:color w:val="7030A0"/>
    </w:rPr>
    <w:tblPr>
      <w:tblInd w:w="0" w:type="dxa"/>
      <w:tblBorders>
        <w:top w:val="single" w:sz="8" w:space="0" w:color="63A537"/>
        <w:bottom w:val="single" w:sz="8" w:space="0" w:color="63A53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3A537"/>
          <w:left w:val="single" w:sz="8" w:space="0" w:color="63A537"/>
          <w:bottom w:val="nil"/>
          <w:right w:val="nil"/>
          <w:insideH w:val="nil"/>
          <w:insideV w:val="nil"/>
        </w:tcBorders>
      </w:tcPr>
    </w:tblStylePr>
    <w:tblStylePr w:type="lastRow">
      <w:pPr>
        <w:spacing w:before="0" w:after="0" w:line="240" w:lineRule="auto"/>
      </w:pPr>
      <w:rPr>
        <w:b/>
        <w:bCs/>
      </w:rPr>
      <w:tblPr/>
      <w:tcPr>
        <w:tcBorders>
          <w:top w:val="single" w:sz="8" w:space="0" w:color="63A537"/>
          <w:left w:val="single" w:sz="8" w:space="0" w:color="63A537"/>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7EDC9"/>
      </w:tcPr>
    </w:tblStylePr>
    <w:tblStylePr w:type="band1Horz">
      <w:tblPr/>
      <w:tcPr>
        <w:tcBorders>
          <w:bottom w:val="nil"/>
          <w:right w:val="nil"/>
          <w:insideH w:val="nil"/>
          <w:insideV w:val="nil"/>
        </w:tcBorders>
        <w:shd w:val="clear" w:color="auto" w:fill="D7EDC9"/>
      </w:tcPr>
    </w:tblStylePr>
  </w:style>
  <w:style w:type="table" w:styleId="ListaMdia2-nfase1">
    <w:name w:val="Medium List 2 Accent 1"/>
    <w:basedOn w:val="Tabelanormal"/>
    <w:uiPriority w:val="66"/>
    <w:qFormat/>
    <w:rsid w:val="00BB71F3"/>
    <w:rPr>
      <w:rFonts w:ascii="Calibri Light" w:eastAsia="Times New Roman" w:hAnsi="Calibri Light"/>
      <w:color w:val="000000"/>
      <w:sz w:val="22"/>
      <w:szCs w:val="22"/>
    </w:rPr>
    <w:tblPr>
      <w:tblInd w:w="0" w:type="dxa"/>
      <w:tblBorders>
        <w:top w:val="single" w:sz="8" w:space="0" w:color="99CB38"/>
        <w:left w:val="single" w:sz="8" w:space="0" w:color="99CB38"/>
        <w:bottom w:val="single" w:sz="8" w:space="0" w:color="99CB38"/>
        <w:right w:val="single" w:sz="8" w:space="0" w:color="99CB38"/>
      </w:tblBorders>
      <w:tblCellMar>
        <w:top w:w="0" w:type="dxa"/>
        <w:left w:w="108" w:type="dxa"/>
        <w:bottom w:w="0" w:type="dxa"/>
        <w:right w:w="108" w:type="dxa"/>
      </w:tblCellMar>
    </w:tblPr>
    <w:tblStylePr w:type="firstRow">
      <w:rPr>
        <w:sz w:val="24"/>
        <w:szCs w:val="24"/>
      </w:rPr>
      <w:tblPr/>
      <w:tcPr>
        <w:tcBorders>
          <w:top w:val="nil"/>
          <w:left w:val="single" w:sz="24" w:space="0" w:color="99CB38"/>
          <w:bottom w:val="nil"/>
          <w:right w:val="nil"/>
          <w:insideH w:val="nil"/>
          <w:insideV w:val="nil"/>
        </w:tcBorders>
        <w:shd w:val="clear" w:color="auto" w:fill="FFFFFF"/>
      </w:tcPr>
    </w:tblStylePr>
    <w:tblStylePr w:type="lastRow">
      <w:tblPr/>
      <w:tcPr>
        <w:tcBorders>
          <w:top w:val="single" w:sz="8" w:space="0" w:color="99CB38"/>
          <w:left w:val="nil"/>
          <w:bottom w:val="nil"/>
          <w:right w:val="nil"/>
          <w:insideH w:val="nil"/>
          <w:insideV w:val="nil"/>
        </w:tcBorders>
        <w:shd w:val="clear" w:color="auto" w:fill="FFFFFF"/>
      </w:tcPr>
    </w:tblStylePr>
    <w:tblStylePr w:type="firstCol">
      <w:tblPr/>
      <w:tcPr>
        <w:tcBorders>
          <w:top w:val="nil"/>
          <w:left w:val="nil"/>
          <w:bottom w:val="nil"/>
          <w:right w:val="single" w:sz="8" w:space="0" w:color="99CB38"/>
          <w:insideH w:val="nil"/>
          <w:insideV w:val="nil"/>
        </w:tcBorders>
        <w:shd w:val="clear" w:color="auto" w:fill="FFFFFF"/>
      </w:tcPr>
    </w:tblStylePr>
    <w:tblStylePr w:type="lastCol">
      <w:tblPr/>
      <w:tcPr>
        <w:tcBorders>
          <w:top w:val="nil"/>
          <w:left w:val="nil"/>
          <w:bottom w:val="single" w:sz="8" w:space="0" w:color="99CB38"/>
          <w:right w:val="nil"/>
          <w:insideH w:val="nil"/>
          <w:insideV w:val="nil"/>
        </w:tcBorders>
        <w:shd w:val="clear" w:color="auto" w:fill="FFFFFF"/>
      </w:tcPr>
    </w:tblStylePr>
    <w:tblStylePr w:type="band1Vert">
      <w:tblPr/>
      <w:tcPr>
        <w:tcBorders>
          <w:bottom w:val="nil"/>
          <w:right w:val="nil"/>
          <w:insideH w:val="nil"/>
          <w:insideV w:val="nil"/>
        </w:tcBorders>
        <w:shd w:val="clear" w:color="auto" w:fill="E5F2CD"/>
      </w:tcPr>
    </w:tblStylePr>
    <w:tblStylePr w:type="band1Horz">
      <w:tblPr/>
      <w:tcPr>
        <w:tcBorders>
          <w:top w:val="nil"/>
          <w:left w:val="nil"/>
          <w:insideH w:val="nil"/>
          <w:insideV w:val="nil"/>
        </w:tcBorders>
        <w:shd w:val="clear" w:color="auto" w:fill="E5F2CD"/>
      </w:tcPr>
    </w:tblStylePr>
    <w:tblStylePr w:type="nwCell">
      <w:tblPr/>
      <w:tcPr>
        <w:shd w:val="clear" w:color="auto" w:fill="FFFFFF"/>
      </w:tcPr>
    </w:tblStylePr>
    <w:tblStylePr w:type="swCell">
      <w:tblPr/>
      <w:tcPr>
        <w:tcBorders>
          <w:top w:val="nil"/>
        </w:tcBorders>
      </w:tcPr>
    </w:tblStylePr>
  </w:style>
  <w:style w:type="paragraph" w:customStyle="1" w:styleId="Style15">
    <w:name w:val="_Style 15"/>
    <w:basedOn w:val="Normal"/>
    <w:uiPriority w:val="34"/>
    <w:qFormat/>
    <w:rsid w:val="00BB71F3"/>
    <w:pPr>
      <w:ind w:left="720"/>
      <w:contextualSpacing/>
    </w:pPr>
  </w:style>
  <w:style w:type="character" w:customStyle="1" w:styleId="CabealhoChar">
    <w:name w:val="Cabeçalho Char"/>
    <w:basedOn w:val="Fontepargpadro"/>
    <w:link w:val="Cabealho"/>
    <w:uiPriority w:val="99"/>
    <w:qFormat/>
    <w:rsid w:val="00BB71F3"/>
  </w:style>
  <w:style w:type="character" w:customStyle="1" w:styleId="RodapChar">
    <w:name w:val="Rodapé Char"/>
    <w:basedOn w:val="Fontepargpadro"/>
    <w:link w:val="Rodap"/>
    <w:uiPriority w:val="99"/>
    <w:qFormat/>
    <w:rsid w:val="00BB71F3"/>
  </w:style>
  <w:style w:type="character" w:customStyle="1" w:styleId="TextodecomentrioChar">
    <w:name w:val="Texto de comentário Char"/>
    <w:link w:val="Textodecomentrio"/>
    <w:uiPriority w:val="99"/>
    <w:semiHidden/>
    <w:qFormat/>
    <w:rsid w:val="00BB71F3"/>
    <w:rPr>
      <w:rFonts w:ascii="Calibri" w:eastAsia="Calibri" w:hAnsi="Calibri" w:cs="Times New Roman"/>
      <w:sz w:val="20"/>
      <w:szCs w:val="20"/>
    </w:rPr>
  </w:style>
  <w:style w:type="character" w:customStyle="1" w:styleId="TextodebaloChar">
    <w:name w:val="Texto de balão Char"/>
    <w:link w:val="Textodebalo"/>
    <w:uiPriority w:val="99"/>
    <w:semiHidden/>
    <w:qFormat/>
    <w:rsid w:val="00BB71F3"/>
    <w:rPr>
      <w:rFonts w:ascii="Segoe UI" w:hAnsi="Segoe UI" w:cs="Segoe UI"/>
      <w:sz w:val="18"/>
      <w:szCs w:val="18"/>
    </w:rPr>
  </w:style>
  <w:style w:type="character" w:customStyle="1" w:styleId="AssuntodocomentrioChar">
    <w:name w:val="Assunto do comentário Char"/>
    <w:link w:val="Assuntodocomentrio"/>
    <w:uiPriority w:val="99"/>
    <w:semiHidden/>
    <w:qFormat/>
    <w:rsid w:val="00BB71F3"/>
    <w:rPr>
      <w:rFonts w:ascii="Calibri" w:eastAsia="Calibri" w:hAnsi="Calibri" w:cs="Times New Roman"/>
      <w:b/>
      <w:bCs/>
      <w:sz w:val="20"/>
      <w:szCs w:val="20"/>
    </w:rPr>
  </w:style>
  <w:style w:type="table" w:customStyle="1" w:styleId="TabeladeGrade2-nfase11">
    <w:name w:val="Tabela de Grade 2 - Ênfase 11"/>
    <w:basedOn w:val="Tabelanormal"/>
    <w:uiPriority w:val="47"/>
    <w:qFormat/>
    <w:rsid w:val="00BB71F3"/>
    <w:tblPr>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left w:val="single" w:sz="12" w:space="0" w:color="9CC2E5"/>
          <w:insideH w:val="nil"/>
          <w:insideV w:val="nil"/>
        </w:tcBorders>
        <w:shd w:val="clear" w:color="auto" w:fill="FFFFFF"/>
      </w:tcPr>
    </w:tblStylePr>
    <w:tblStylePr w:type="lastRow">
      <w:rPr>
        <w:b/>
        <w:bCs/>
      </w:rPr>
      <w:tblPr/>
      <w:tcPr>
        <w:tcBorders>
          <w:top w:val="double" w:sz="2" w:space="0" w:color="9CC2E5"/>
          <w:left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1Clara-nfase41">
    <w:name w:val="Tabela de Grade 1 Clara - Ênfase 41"/>
    <w:basedOn w:val="Tabelanormal"/>
    <w:uiPriority w:val="46"/>
    <w:qFormat/>
    <w:rsid w:val="00BB71F3"/>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left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eladeGrade2-nfase41">
    <w:name w:val="Tabela de Grade 2 - Ênfase 41"/>
    <w:basedOn w:val="Tabelanormal"/>
    <w:uiPriority w:val="47"/>
    <w:qFormat/>
    <w:rsid w:val="00BB71F3"/>
    <w:tblPr>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left w:val="single" w:sz="12" w:space="0" w:color="FFD966"/>
          <w:insideH w:val="nil"/>
          <w:insideV w:val="nil"/>
        </w:tcBorders>
        <w:shd w:val="clear" w:color="auto" w:fill="FFFFFF"/>
      </w:tcPr>
    </w:tblStylePr>
    <w:tblStylePr w:type="lastRow">
      <w:rPr>
        <w:b/>
        <w:bCs/>
      </w:rPr>
      <w:tblPr/>
      <w:tcPr>
        <w:tcBorders>
          <w:top w:val="double" w:sz="2" w:space="0" w:color="FFD966"/>
          <w:left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1910</Words>
  <Characters>10316</Characters>
  <Application>Microsoft Office Word</Application>
  <DocSecurity>0</DocSecurity>
  <Lines>85</Lines>
  <Paragraphs>24</Paragraphs>
  <ScaleCrop>false</ScaleCrop>
  <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biblioteca-02</cp:lastModifiedBy>
  <cp:revision>3</cp:revision>
  <dcterms:created xsi:type="dcterms:W3CDTF">2021-06-24T17:58:00Z</dcterms:created>
  <dcterms:modified xsi:type="dcterms:W3CDTF">2021-06-25T13:14:00Z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