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B281C" w14:textId="77777777" w:rsidR="00E64D34" w:rsidRDefault="006A258C">
      <w:pPr>
        <w:spacing w:after="0" w:line="240" w:lineRule="auto"/>
        <w:jc w:val="center"/>
        <w:rPr>
          <w:rFonts w:ascii="Times New Roman" w:hAnsi="Times New Roman"/>
          <w:b/>
          <w:color w:val="FFFFFF"/>
          <w:sz w:val="144"/>
          <w:szCs w:val="144"/>
        </w:rPr>
      </w:pPr>
      <w:bookmarkStart w:id="0" w:name="_GoBack"/>
      <w:bookmarkEnd w:id="0"/>
      <w:r>
        <w:rPr>
          <w:noProof/>
          <w:color w:val="FFFFFF"/>
          <w:lang w:eastAsia="pt-BR"/>
        </w:rPr>
        <w:drawing>
          <wp:anchor distT="0" distB="0" distL="114300" distR="114300" simplePos="0" relativeHeight="251660288" behindDoc="1" locked="0" layoutInCell="1" allowOverlap="1" wp14:anchorId="07294F0D" wp14:editId="56CA4D22">
            <wp:simplePos x="0" y="0"/>
            <wp:positionH relativeFrom="column">
              <wp:posOffset>-1080135</wp:posOffset>
            </wp:positionH>
            <wp:positionV relativeFrom="paragraph">
              <wp:posOffset>-899795</wp:posOffset>
            </wp:positionV>
            <wp:extent cx="7562850" cy="13440410"/>
            <wp:effectExtent l="0" t="0" r="0" b="8890"/>
            <wp:wrapNone/>
            <wp:docPr id="3" name="Imagem 3" descr="kit_stories_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kit_stories_01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562850" cy="13440410"/>
                    </a:xfrm>
                    <a:prstGeom prst="rect">
                      <a:avLst/>
                    </a:prstGeom>
                    <a:noFill/>
                    <a:ln>
                      <a:noFill/>
                    </a:ln>
                  </pic:spPr>
                </pic:pic>
              </a:graphicData>
            </a:graphic>
          </wp:anchor>
        </w:drawing>
      </w:r>
      <w:r>
        <w:rPr>
          <w:rFonts w:ascii="Times New Roman" w:hAnsi="Times New Roman"/>
          <w:b/>
          <w:color w:val="FFFFFF"/>
          <w:sz w:val="130"/>
          <w:szCs w:val="130"/>
        </w:rPr>
        <w:t>CAPÍTULO 01</w:t>
      </w:r>
    </w:p>
    <w:p w14:paraId="2BAEBDD3" w14:textId="77777777" w:rsidR="00E64D34" w:rsidRPr="00006484" w:rsidRDefault="00E64D34">
      <w:pPr>
        <w:spacing w:after="0" w:line="240" w:lineRule="auto"/>
        <w:jc w:val="center"/>
        <w:rPr>
          <w:rFonts w:ascii="Times New Roman" w:hAnsi="Times New Roman"/>
          <w:b/>
          <w:color w:val="FFFF00"/>
          <w:sz w:val="28"/>
          <w:szCs w:val="28"/>
        </w:rPr>
      </w:pPr>
    </w:p>
    <w:p w14:paraId="69B500AC" w14:textId="54372ADD" w:rsidR="00E64D34" w:rsidRDefault="00006484">
      <w:pPr>
        <w:spacing w:after="0" w:line="240" w:lineRule="auto"/>
        <w:jc w:val="center"/>
        <w:rPr>
          <w:rFonts w:ascii="Times New Roman" w:hAnsi="Times New Roman"/>
          <w:b/>
          <w:color w:val="FFFF00"/>
          <w:sz w:val="96"/>
          <w:szCs w:val="96"/>
        </w:rPr>
      </w:pPr>
      <w:r>
        <w:rPr>
          <w:rFonts w:ascii="Times New Roman" w:hAnsi="Times New Roman"/>
          <w:b/>
          <w:color w:val="FFFF00"/>
          <w:sz w:val="96"/>
          <w:szCs w:val="96"/>
        </w:rPr>
        <w:t>TELEMEDICINA E COVID-19: OS IMPACTOS NA RELAÇÃO MÉDICO-PACIENTE</w:t>
      </w:r>
    </w:p>
    <w:p w14:paraId="5FE7A917" w14:textId="77777777" w:rsidR="00E64D34" w:rsidRPr="00006484" w:rsidRDefault="00E64D34">
      <w:pPr>
        <w:spacing w:after="0" w:line="240" w:lineRule="auto"/>
        <w:jc w:val="center"/>
        <w:rPr>
          <w:rFonts w:ascii="Times New Roman" w:hAnsi="Times New Roman"/>
          <w:b/>
          <w:color w:val="FFFFFF"/>
          <w:sz w:val="48"/>
          <w:szCs w:val="48"/>
        </w:rPr>
      </w:pPr>
    </w:p>
    <w:p w14:paraId="554EB2B1" w14:textId="77777777" w:rsidR="00E64D34" w:rsidRDefault="006A258C">
      <w:pPr>
        <w:spacing w:after="0" w:line="240" w:lineRule="auto"/>
        <w:jc w:val="both"/>
        <w:rPr>
          <w:rFonts w:ascii="Times New Roman" w:hAnsi="Times New Roman"/>
          <w:b/>
          <w:color w:val="FFFFFF"/>
          <w:sz w:val="44"/>
          <w:szCs w:val="44"/>
        </w:rPr>
      </w:pPr>
      <w:r>
        <w:rPr>
          <w:rFonts w:ascii="Times New Roman" w:hAnsi="Times New Roman"/>
          <w:b/>
          <w:color w:val="FFFFFF"/>
          <w:sz w:val="44"/>
          <w:szCs w:val="44"/>
        </w:rPr>
        <w:t>Rafaela de Andrade Santos¹</w:t>
      </w:r>
    </w:p>
    <w:p w14:paraId="472A1A40" w14:textId="70EAB335" w:rsidR="00E64D34" w:rsidRDefault="006A258C">
      <w:pPr>
        <w:spacing w:after="0" w:line="240" w:lineRule="auto"/>
        <w:jc w:val="both"/>
        <w:rPr>
          <w:rFonts w:ascii="Times New Roman" w:hAnsi="Times New Roman"/>
          <w:b/>
          <w:color w:val="FFFFFF"/>
          <w:sz w:val="44"/>
          <w:szCs w:val="44"/>
        </w:rPr>
      </w:pPr>
      <w:r>
        <w:rPr>
          <w:rFonts w:ascii="Times New Roman" w:hAnsi="Times New Roman"/>
          <w:b/>
          <w:color w:val="FFFFFF"/>
          <w:sz w:val="44"/>
          <w:szCs w:val="44"/>
        </w:rPr>
        <w:t>Ariany Parreira de Mendonça</w:t>
      </w:r>
      <w:r w:rsidR="00634F3C" w:rsidRPr="00634F3C">
        <w:rPr>
          <w:rFonts w:ascii="Times New Roman" w:hAnsi="Times New Roman"/>
          <w:b/>
          <w:color w:val="FFFFFF"/>
          <w:sz w:val="44"/>
          <w:szCs w:val="44"/>
          <w:vertAlign w:val="superscript"/>
        </w:rPr>
        <w:t>1</w:t>
      </w:r>
    </w:p>
    <w:p w14:paraId="353DDCF2" w14:textId="06F0A938" w:rsidR="00E64D34" w:rsidRDefault="006A258C">
      <w:pPr>
        <w:spacing w:after="0" w:line="240" w:lineRule="auto"/>
        <w:jc w:val="both"/>
        <w:rPr>
          <w:rFonts w:ascii="Times New Roman" w:hAnsi="Times New Roman"/>
          <w:b/>
          <w:color w:val="FFFFFF"/>
          <w:sz w:val="44"/>
          <w:szCs w:val="44"/>
        </w:rPr>
      </w:pPr>
      <w:r>
        <w:rPr>
          <w:rFonts w:ascii="Times New Roman" w:hAnsi="Times New Roman"/>
          <w:b/>
          <w:color w:val="FFFFFF"/>
          <w:sz w:val="44"/>
          <w:szCs w:val="44"/>
        </w:rPr>
        <w:t>Maria Eduarda Costa Naves</w:t>
      </w:r>
      <w:r w:rsidR="00634F3C" w:rsidRPr="00634F3C">
        <w:rPr>
          <w:rFonts w:ascii="Times New Roman" w:hAnsi="Times New Roman"/>
          <w:b/>
          <w:color w:val="FFFFFF"/>
          <w:sz w:val="44"/>
          <w:szCs w:val="44"/>
          <w:vertAlign w:val="superscript"/>
        </w:rPr>
        <w:t>1</w:t>
      </w:r>
    </w:p>
    <w:p w14:paraId="215205A2" w14:textId="4C15BDA6" w:rsidR="00E64D34" w:rsidRDefault="006A258C">
      <w:pPr>
        <w:spacing w:after="0" w:line="240" w:lineRule="auto"/>
        <w:jc w:val="both"/>
        <w:rPr>
          <w:rFonts w:ascii="Times New Roman" w:hAnsi="Times New Roman"/>
          <w:b/>
          <w:color w:val="FFFFFF"/>
          <w:sz w:val="44"/>
          <w:szCs w:val="44"/>
        </w:rPr>
      </w:pPr>
      <w:r>
        <w:rPr>
          <w:rFonts w:ascii="Times New Roman" w:hAnsi="Times New Roman"/>
          <w:b/>
          <w:color w:val="FFFFFF"/>
          <w:sz w:val="44"/>
          <w:szCs w:val="44"/>
        </w:rPr>
        <w:t>Nathalia Antunes Silva</w:t>
      </w:r>
      <w:r w:rsidR="00634F3C" w:rsidRPr="00634F3C">
        <w:rPr>
          <w:rFonts w:ascii="Times New Roman" w:hAnsi="Times New Roman"/>
          <w:b/>
          <w:color w:val="FFFFFF"/>
          <w:sz w:val="44"/>
          <w:szCs w:val="44"/>
          <w:vertAlign w:val="superscript"/>
        </w:rPr>
        <w:t>1</w:t>
      </w:r>
    </w:p>
    <w:p w14:paraId="62AEE9E5" w14:textId="5CCCA1D2" w:rsidR="00E64D34" w:rsidRDefault="006A258C">
      <w:pPr>
        <w:spacing w:after="0" w:line="240" w:lineRule="auto"/>
        <w:jc w:val="both"/>
        <w:rPr>
          <w:rFonts w:ascii="Times New Roman" w:hAnsi="Times New Roman"/>
          <w:b/>
          <w:color w:val="FFFFFF"/>
          <w:sz w:val="44"/>
          <w:szCs w:val="44"/>
        </w:rPr>
      </w:pPr>
      <w:r>
        <w:rPr>
          <w:rFonts w:ascii="Times New Roman" w:hAnsi="Times New Roman"/>
          <w:b/>
          <w:color w:val="FFFFFF"/>
          <w:sz w:val="44"/>
          <w:szCs w:val="44"/>
        </w:rPr>
        <w:t>Paula Palhares de Resende</w:t>
      </w:r>
      <w:r w:rsidR="00634F3C" w:rsidRPr="00634F3C">
        <w:rPr>
          <w:rFonts w:ascii="Times New Roman" w:hAnsi="Times New Roman"/>
          <w:b/>
          <w:color w:val="FFFFFF"/>
          <w:sz w:val="44"/>
          <w:szCs w:val="44"/>
          <w:vertAlign w:val="superscript"/>
        </w:rPr>
        <w:t>1</w:t>
      </w:r>
    </w:p>
    <w:p w14:paraId="6B4FF26C" w14:textId="1F06DDD5" w:rsidR="00E64D34" w:rsidRDefault="006A258C">
      <w:pPr>
        <w:spacing w:after="0" w:line="240" w:lineRule="auto"/>
        <w:jc w:val="both"/>
        <w:rPr>
          <w:rFonts w:ascii="Times New Roman" w:hAnsi="Times New Roman"/>
          <w:b/>
          <w:color w:val="FFFFFF"/>
          <w:sz w:val="44"/>
          <w:szCs w:val="44"/>
        </w:rPr>
      </w:pPr>
      <w:r>
        <w:rPr>
          <w:rFonts w:ascii="Times New Roman" w:hAnsi="Times New Roman"/>
          <w:b/>
          <w:color w:val="FFFFFF"/>
          <w:sz w:val="44"/>
          <w:szCs w:val="44"/>
        </w:rPr>
        <w:t>Samara Dahas Bittar Freitas</w:t>
      </w:r>
      <w:r w:rsidR="00634F3C" w:rsidRPr="00634F3C">
        <w:rPr>
          <w:rFonts w:ascii="Times New Roman" w:hAnsi="Times New Roman"/>
          <w:b/>
          <w:color w:val="FFFFFF"/>
          <w:sz w:val="44"/>
          <w:szCs w:val="44"/>
          <w:vertAlign w:val="superscript"/>
        </w:rPr>
        <w:t>1</w:t>
      </w:r>
    </w:p>
    <w:p w14:paraId="7513F937" w14:textId="6C7A362C" w:rsidR="00E64D34" w:rsidRDefault="006A258C">
      <w:pPr>
        <w:spacing w:after="0" w:line="240" w:lineRule="auto"/>
        <w:jc w:val="both"/>
        <w:rPr>
          <w:rFonts w:ascii="Times New Roman" w:hAnsi="Times New Roman"/>
          <w:b/>
          <w:color w:val="FFFFFF"/>
          <w:sz w:val="44"/>
          <w:szCs w:val="44"/>
        </w:rPr>
      </w:pPr>
      <w:r>
        <w:rPr>
          <w:rFonts w:ascii="Times New Roman" w:hAnsi="Times New Roman"/>
          <w:b/>
          <w:color w:val="FFFFFF"/>
          <w:sz w:val="44"/>
          <w:szCs w:val="44"/>
        </w:rPr>
        <w:t>Thayna Pereira Beirigo</w:t>
      </w:r>
      <w:r w:rsidR="00634F3C" w:rsidRPr="00634F3C">
        <w:rPr>
          <w:rFonts w:ascii="Times New Roman" w:hAnsi="Times New Roman"/>
          <w:b/>
          <w:color w:val="FFFFFF"/>
          <w:sz w:val="44"/>
          <w:szCs w:val="44"/>
          <w:vertAlign w:val="superscript"/>
        </w:rPr>
        <w:t>1</w:t>
      </w:r>
    </w:p>
    <w:p w14:paraId="1A4CA70C" w14:textId="51556F81" w:rsidR="00E64D34" w:rsidRDefault="00594DA1">
      <w:pPr>
        <w:spacing w:after="0" w:line="240" w:lineRule="auto"/>
        <w:jc w:val="both"/>
        <w:rPr>
          <w:rFonts w:ascii="Times New Roman" w:hAnsi="Times New Roman"/>
          <w:b/>
          <w:color w:val="FFFFFF"/>
          <w:sz w:val="44"/>
          <w:szCs w:val="44"/>
          <w:vertAlign w:val="superscript"/>
        </w:rPr>
      </w:pPr>
      <w:r>
        <w:rPr>
          <w:rFonts w:ascii="Times New Roman" w:hAnsi="Times New Roman"/>
          <w:b/>
          <w:color w:val="FFFFFF"/>
          <w:sz w:val="44"/>
          <w:szCs w:val="44"/>
        </w:rPr>
        <w:t>Roberta Ribeiro Souto</w:t>
      </w:r>
      <w:r w:rsidR="00634F3C" w:rsidRPr="00634F3C">
        <w:rPr>
          <w:rFonts w:ascii="Times New Roman" w:hAnsi="Times New Roman"/>
          <w:b/>
          <w:color w:val="FFFFFF"/>
          <w:sz w:val="44"/>
          <w:szCs w:val="44"/>
          <w:vertAlign w:val="superscript"/>
        </w:rPr>
        <w:t>2</w:t>
      </w:r>
    </w:p>
    <w:p w14:paraId="520DE3FA" w14:textId="77777777" w:rsidR="00634F3C" w:rsidRDefault="00634F3C" w:rsidP="00634F3C">
      <w:pPr>
        <w:spacing w:after="0" w:line="240" w:lineRule="auto"/>
        <w:jc w:val="right"/>
        <w:rPr>
          <w:rFonts w:ascii="Times New Roman" w:hAnsi="Times New Roman"/>
          <w:color w:val="FFFFFF" w:themeColor="background1"/>
          <w:sz w:val="20"/>
          <w:szCs w:val="20"/>
          <w:vertAlign w:val="superscript"/>
        </w:rPr>
      </w:pPr>
    </w:p>
    <w:p w14:paraId="0D747B8A" w14:textId="3D391600" w:rsidR="00634F3C" w:rsidRPr="00634F3C" w:rsidRDefault="00634F3C" w:rsidP="00634F3C">
      <w:pPr>
        <w:spacing w:after="0" w:line="240" w:lineRule="auto"/>
        <w:jc w:val="right"/>
        <w:rPr>
          <w:rFonts w:ascii="Times New Roman" w:hAnsi="Times New Roman"/>
          <w:strike/>
          <w:color w:val="FFFFFF" w:themeColor="background1"/>
          <w:sz w:val="24"/>
          <w:szCs w:val="24"/>
        </w:rPr>
      </w:pPr>
      <w:r w:rsidRPr="00634F3C">
        <w:rPr>
          <w:rFonts w:ascii="Times New Roman" w:hAnsi="Times New Roman"/>
          <w:color w:val="FFFFFF" w:themeColor="background1"/>
          <w:sz w:val="24"/>
          <w:szCs w:val="24"/>
          <w:vertAlign w:val="superscript"/>
        </w:rPr>
        <w:t>1</w:t>
      </w:r>
      <w:r w:rsidRPr="00634F3C">
        <w:rPr>
          <w:rFonts w:ascii="Times New Roman" w:hAnsi="Times New Roman"/>
          <w:color w:val="FFFFFF" w:themeColor="background1"/>
          <w:sz w:val="24"/>
          <w:szCs w:val="24"/>
        </w:rPr>
        <w:t xml:space="preserve"> Discente do curso de Medicina no Centro Universitário IMEPAC, Araguari – MG.</w:t>
      </w:r>
    </w:p>
    <w:p w14:paraId="48B40538" w14:textId="77777777" w:rsidR="00634F3C" w:rsidRPr="00634F3C" w:rsidRDefault="00634F3C" w:rsidP="00634F3C">
      <w:pPr>
        <w:spacing w:after="0" w:line="240" w:lineRule="auto"/>
        <w:jc w:val="right"/>
        <w:rPr>
          <w:rFonts w:ascii="Times New Roman" w:hAnsi="Times New Roman"/>
          <w:color w:val="FFFFFF" w:themeColor="background1"/>
          <w:sz w:val="24"/>
          <w:szCs w:val="24"/>
        </w:rPr>
      </w:pPr>
      <w:r w:rsidRPr="00634F3C">
        <w:rPr>
          <w:rFonts w:ascii="Times New Roman" w:hAnsi="Times New Roman"/>
          <w:color w:val="FFFFFF" w:themeColor="background1"/>
          <w:sz w:val="24"/>
          <w:szCs w:val="24"/>
          <w:vertAlign w:val="superscript"/>
        </w:rPr>
        <w:t xml:space="preserve">2 </w:t>
      </w:r>
      <w:r w:rsidRPr="00634F3C">
        <w:rPr>
          <w:rFonts w:ascii="Times New Roman" w:hAnsi="Times New Roman"/>
          <w:color w:val="FFFFFF" w:themeColor="background1"/>
          <w:sz w:val="24"/>
          <w:szCs w:val="24"/>
        </w:rPr>
        <w:t>Docente do curso de Medicina no Centro Universitário IMEPAC, Araguari – MG.</w:t>
      </w:r>
    </w:p>
    <w:p w14:paraId="2BEE8792" w14:textId="77777777" w:rsidR="00E64D34" w:rsidRDefault="00E64D34">
      <w:pPr>
        <w:spacing w:after="0" w:line="240" w:lineRule="auto"/>
        <w:jc w:val="both"/>
        <w:rPr>
          <w:rFonts w:ascii="Times New Roman" w:hAnsi="Times New Roman"/>
          <w:b/>
          <w:color w:val="FFFFFF"/>
          <w:sz w:val="44"/>
          <w:szCs w:val="44"/>
        </w:rPr>
      </w:pPr>
    </w:p>
    <w:p w14:paraId="2C951425" w14:textId="77777777" w:rsidR="00E64D34" w:rsidRDefault="006A258C">
      <w:pPr>
        <w:spacing w:after="0" w:line="240" w:lineRule="auto"/>
        <w:jc w:val="center"/>
        <w:rPr>
          <w:rFonts w:ascii="Times New Roman" w:hAnsi="Times New Roman"/>
          <w:b/>
          <w:color w:val="44546A"/>
          <w:sz w:val="28"/>
          <w:szCs w:val="28"/>
        </w:rPr>
      </w:pPr>
      <w:r>
        <w:rPr>
          <w:rFonts w:ascii="Times New Roman" w:hAnsi="Times New Roman"/>
          <w:b/>
          <w:color w:val="44546A"/>
          <w:sz w:val="70"/>
          <w:szCs w:val="70"/>
        </w:rPr>
        <w:t>CAPÍTULO 01</w:t>
      </w:r>
    </w:p>
    <w:p w14:paraId="6E32A515" w14:textId="77777777" w:rsidR="00E64D34" w:rsidRDefault="00E64D34">
      <w:pPr>
        <w:spacing w:after="0" w:line="240" w:lineRule="auto"/>
        <w:jc w:val="center"/>
        <w:rPr>
          <w:rFonts w:ascii="Times New Roman" w:hAnsi="Times New Roman"/>
          <w:b/>
          <w:color w:val="000000"/>
          <w:sz w:val="40"/>
          <w:szCs w:val="40"/>
        </w:rPr>
      </w:pPr>
    </w:p>
    <w:p w14:paraId="27F40812" w14:textId="77777777" w:rsidR="00E64D34" w:rsidRDefault="006A258C">
      <w:pPr>
        <w:spacing w:after="0" w:line="240" w:lineRule="auto"/>
        <w:jc w:val="center"/>
        <w:rPr>
          <w:rFonts w:ascii="Times New Roman" w:hAnsi="Times New Roman"/>
          <w:b/>
          <w:color w:val="000000"/>
          <w:sz w:val="40"/>
          <w:szCs w:val="40"/>
        </w:rPr>
      </w:pPr>
      <w:r>
        <w:rPr>
          <w:rFonts w:ascii="Times New Roman" w:hAnsi="Times New Roman"/>
          <w:b/>
          <w:color w:val="000000"/>
          <w:sz w:val="40"/>
          <w:szCs w:val="40"/>
        </w:rPr>
        <w:t>TELEMEDICINA E COVID-19: OS IMPACTOS NA RELAÇÃO MÉDICO-PACIENTE</w:t>
      </w:r>
    </w:p>
    <w:p w14:paraId="57E674AD" w14:textId="77777777" w:rsidR="00E64D34" w:rsidRDefault="00E64D34">
      <w:pPr>
        <w:spacing w:after="0" w:line="240" w:lineRule="auto"/>
        <w:jc w:val="center"/>
        <w:rPr>
          <w:rFonts w:ascii="Times New Roman" w:hAnsi="Times New Roman"/>
          <w:sz w:val="24"/>
          <w:szCs w:val="24"/>
        </w:rPr>
      </w:pPr>
    </w:p>
    <w:p w14:paraId="702A3198" w14:textId="16893EE0" w:rsidR="00E64D34" w:rsidRPr="00991F98" w:rsidRDefault="0045144A" w:rsidP="00991F98">
      <w:pPr>
        <w:spacing w:after="0" w:line="240" w:lineRule="auto"/>
        <w:jc w:val="center"/>
        <w:rPr>
          <w:rFonts w:ascii="Times New Roman" w:hAnsi="Times New Roman"/>
          <w:sz w:val="28"/>
          <w:szCs w:val="28"/>
        </w:rPr>
      </w:pPr>
      <w:r>
        <w:rPr>
          <w:rFonts w:ascii="Times New Roman" w:hAnsi="Times New Roman"/>
          <w:sz w:val="28"/>
          <w:szCs w:val="28"/>
        </w:rPr>
        <w:t>Rafaela de Andrade Santos</w:t>
      </w:r>
      <w:r>
        <w:rPr>
          <w:rFonts w:ascii="Times New Roman" w:hAnsi="Times New Roman"/>
          <w:sz w:val="28"/>
          <w:szCs w:val="28"/>
          <w:vertAlign w:val="superscript"/>
        </w:rPr>
        <w:t>1</w:t>
      </w:r>
      <w:r w:rsidR="006A258C">
        <w:rPr>
          <w:rFonts w:ascii="Times New Roman" w:hAnsi="Times New Roman"/>
          <w:sz w:val="28"/>
          <w:szCs w:val="28"/>
        </w:rPr>
        <w:t>, Ariany Parreira de Mendo</w:t>
      </w:r>
      <w:r>
        <w:rPr>
          <w:rFonts w:ascii="Times New Roman" w:hAnsi="Times New Roman"/>
          <w:sz w:val="28"/>
          <w:szCs w:val="28"/>
        </w:rPr>
        <w:t>nça</w:t>
      </w:r>
      <w:r>
        <w:rPr>
          <w:rFonts w:ascii="Times New Roman" w:hAnsi="Times New Roman"/>
          <w:sz w:val="28"/>
          <w:szCs w:val="28"/>
          <w:vertAlign w:val="superscript"/>
        </w:rPr>
        <w:t>1</w:t>
      </w:r>
      <w:r>
        <w:rPr>
          <w:rFonts w:ascii="Times New Roman" w:hAnsi="Times New Roman"/>
          <w:sz w:val="28"/>
          <w:szCs w:val="28"/>
        </w:rPr>
        <w:t>, Maria Eduarda Costa Naves</w:t>
      </w:r>
      <w:r>
        <w:rPr>
          <w:rFonts w:ascii="Times New Roman" w:hAnsi="Times New Roman"/>
          <w:sz w:val="28"/>
          <w:szCs w:val="28"/>
          <w:vertAlign w:val="superscript"/>
        </w:rPr>
        <w:t>1</w:t>
      </w:r>
      <w:r>
        <w:rPr>
          <w:rFonts w:ascii="Times New Roman" w:hAnsi="Times New Roman"/>
          <w:sz w:val="28"/>
          <w:szCs w:val="28"/>
        </w:rPr>
        <w:t>, Nathalia Antunes Silva</w:t>
      </w:r>
      <w:r>
        <w:rPr>
          <w:rFonts w:ascii="Times New Roman" w:hAnsi="Times New Roman"/>
          <w:sz w:val="28"/>
          <w:szCs w:val="28"/>
          <w:vertAlign w:val="superscript"/>
        </w:rPr>
        <w:t>1</w:t>
      </w:r>
      <w:r>
        <w:rPr>
          <w:rFonts w:ascii="Times New Roman" w:hAnsi="Times New Roman"/>
          <w:sz w:val="28"/>
          <w:szCs w:val="28"/>
        </w:rPr>
        <w:t>, Paula Palhares de Resende</w:t>
      </w:r>
      <w:r>
        <w:rPr>
          <w:rFonts w:ascii="Times New Roman" w:hAnsi="Times New Roman"/>
          <w:sz w:val="28"/>
          <w:szCs w:val="28"/>
          <w:vertAlign w:val="superscript"/>
        </w:rPr>
        <w:t>1</w:t>
      </w:r>
      <w:r>
        <w:rPr>
          <w:rFonts w:ascii="Times New Roman" w:hAnsi="Times New Roman"/>
          <w:sz w:val="28"/>
          <w:szCs w:val="28"/>
        </w:rPr>
        <w:t>, Samara Dahas Bittar Freitas</w:t>
      </w:r>
      <w:r>
        <w:rPr>
          <w:rFonts w:ascii="Times New Roman" w:hAnsi="Times New Roman"/>
          <w:sz w:val="28"/>
          <w:szCs w:val="28"/>
          <w:vertAlign w:val="superscript"/>
        </w:rPr>
        <w:t>1</w:t>
      </w:r>
      <w:r>
        <w:rPr>
          <w:rFonts w:ascii="Times New Roman" w:hAnsi="Times New Roman"/>
          <w:sz w:val="28"/>
          <w:szCs w:val="28"/>
        </w:rPr>
        <w:t>, Thayna Pereira Beirigo</w:t>
      </w:r>
      <w:r>
        <w:rPr>
          <w:rFonts w:ascii="Times New Roman" w:hAnsi="Times New Roman"/>
          <w:sz w:val="28"/>
          <w:szCs w:val="28"/>
          <w:vertAlign w:val="superscript"/>
        </w:rPr>
        <w:t>1</w:t>
      </w:r>
      <w:r>
        <w:rPr>
          <w:rFonts w:ascii="Times New Roman" w:hAnsi="Times New Roman"/>
          <w:sz w:val="28"/>
          <w:szCs w:val="28"/>
        </w:rPr>
        <w:t xml:space="preserve">, </w:t>
      </w:r>
      <w:r w:rsidR="00594DA1">
        <w:rPr>
          <w:rFonts w:ascii="Times New Roman" w:hAnsi="Times New Roman"/>
          <w:sz w:val="28"/>
          <w:szCs w:val="28"/>
        </w:rPr>
        <w:t>Roberta Ribeiro Souto</w:t>
      </w:r>
      <w:r>
        <w:rPr>
          <w:rFonts w:ascii="Times New Roman" w:hAnsi="Times New Roman"/>
          <w:sz w:val="28"/>
          <w:szCs w:val="28"/>
          <w:vertAlign w:val="superscript"/>
        </w:rPr>
        <w:t>2</w:t>
      </w:r>
      <w:r>
        <w:rPr>
          <w:rFonts w:ascii="Times New Roman" w:hAnsi="Times New Roman"/>
          <w:sz w:val="28"/>
          <w:szCs w:val="28"/>
        </w:rPr>
        <w:t>.</w:t>
      </w:r>
    </w:p>
    <w:p w14:paraId="1DBD8A4F" w14:textId="77777777" w:rsidR="00E64D34" w:rsidRDefault="006A258C">
      <w:pPr>
        <w:spacing w:after="0" w:line="240" w:lineRule="auto"/>
        <w:jc w:val="both"/>
        <w:rPr>
          <w:rFonts w:ascii="Times New Roman" w:hAnsi="Times New Roman"/>
          <w:strike/>
          <w:sz w:val="20"/>
          <w:szCs w:val="20"/>
        </w:rPr>
      </w:pPr>
      <w:r>
        <w:rPr>
          <w:rFonts w:ascii="Times New Roman" w:hAnsi="Times New Roman"/>
          <w:sz w:val="20"/>
          <w:szCs w:val="20"/>
          <w:vertAlign w:val="superscript"/>
        </w:rPr>
        <w:t>1</w:t>
      </w:r>
      <w:r>
        <w:rPr>
          <w:rFonts w:ascii="Times New Roman" w:hAnsi="Times New Roman"/>
          <w:sz w:val="20"/>
          <w:szCs w:val="20"/>
        </w:rPr>
        <w:t xml:space="preserve"> </w:t>
      </w:r>
      <w:r w:rsidR="0045144A">
        <w:rPr>
          <w:rFonts w:ascii="Times New Roman" w:hAnsi="Times New Roman"/>
          <w:sz w:val="20"/>
          <w:szCs w:val="20"/>
        </w:rPr>
        <w:t>Discente do curso de Medicina no Centro Universitário IMEPAC, Araguari – MG.</w:t>
      </w:r>
    </w:p>
    <w:p w14:paraId="0B6FB65E" w14:textId="77777777" w:rsidR="0045144A" w:rsidRPr="0045144A" w:rsidRDefault="0045144A">
      <w:pPr>
        <w:spacing w:after="0" w:line="240" w:lineRule="auto"/>
        <w:jc w:val="both"/>
        <w:rPr>
          <w:rFonts w:ascii="Times New Roman" w:hAnsi="Times New Roman"/>
          <w:sz w:val="20"/>
          <w:szCs w:val="20"/>
        </w:rPr>
      </w:pPr>
      <w:r>
        <w:rPr>
          <w:rFonts w:ascii="Times New Roman" w:hAnsi="Times New Roman"/>
          <w:sz w:val="20"/>
          <w:szCs w:val="20"/>
          <w:vertAlign w:val="superscript"/>
        </w:rPr>
        <w:t xml:space="preserve">2 </w:t>
      </w:r>
      <w:r>
        <w:rPr>
          <w:rFonts w:ascii="Times New Roman" w:hAnsi="Times New Roman"/>
          <w:sz w:val="20"/>
          <w:szCs w:val="20"/>
        </w:rPr>
        <w:t>Docente do curso de Medicina no Centro Universitário IMEPAC, Araguari – MG.</w:t>
      </w:r>
    </w:p>
    <w:p w14:paraId="57B3FA6E" w14:textId="77777777" w:rsidR="00E64D34" w:rsidRDefault="00E64D34">
      <w:pPr>
        <w:spacing w:after="0" w:line="360" w:lineRule="auto"/>
        <w:rPr>
          <w:rFonts w:ascii="Times New Roman" w:hAnsi="Times New Roman"/>
          <w:sz w:val="24"/>
          <w:szCs w:val="24"/>
        </w:rPr>
      </w:pPr>
    </w:p>
    <w:p w14:paraId="13805C0F" w14:textId="5620F81C" w:rsidR="009E3466" w:rsidRPr="00691335" w:rsidRDefault="006A258C" w:rsidP="00691335">
      <w:pPr>
        <w:spacing w:after="0" w:line="360" w:lineRule="auto"/>
        <w:rPr>
          <w:rFonts w:ascii="Times New Roman" w:hAnsi="Times New Roman"/>
          <w:b/>
          <w:color w:val="44546A"/>
          <w:sz w:val="24"/>
          <w:szCs w:val="24"/>
        </w:rPr>
      </w:pPr>
      <w:r>
        <w:rPr>
          <w:rFonts w:ascii="Times New Roman" w:hAnsi="Times New Roman"/>
          <w:b/>
          <w:color w:val="44546A"/>
          <w:sz w:val="24"/>
          <w:szCs w:val="24"/>
        </w:rPr>
        <w:t>RESUMO</w:t>
      </w:r>
    </w:p>
    <w:p w14:paraId="3E58649F" w14:textId="77777777" w:rsidR="009E3466" w:rsidRDefault="009E3466" w:rsidP="0004460F">
      <w:pPr>
        <w:spacing w:after="0" w:line="240" w:lineRule="auto"/>
        <w:jc w:val="both"/>
        <w:rPr>
          <w:rFonts w:ascii="Times New Roman" w:hAnsi="Times New Roman"/>
          <w:sz w:val="24"/>
          <w:szCs w:val="24"/>
        </w:rPr>
      </w:pPr>
      <w:r w:rsidRPr="0045144A">
        <w:rPr>
          <w:rFonts w:ascii="Times New Roman" w:eastAsia="Times New Roman" w:hAnsi="Times New Roman"/>
          <w:color w:val="000000"/>
          <w:sz w:val="24"/>
          <w:szCs w:val="24"/>
          <w:lang w:eastAsia="pt-BR"/>
        </w:rPr>
        <w:t xml:space="preserve">A pandemia de </w:t>
      </w:r>
      <w:r w:rsidR="0004460F" w:rsidRPr="0045144A">
        <w:rPr>
          <w:rFonts w:ascii="Times New Roman" w:eastAsia="Times New Roman" w:hAnsi="Times New Roman"/>
          <w:color w:val="000000"/>
          <w:sz w:val="24"/>
          <w:szCs w:val="24"/>
          <w:lang w:eastAsia="pt-BR"/>
        </w:rPr>
        <w:t>COVID</w:t>
      </w:r>
      <w:r w:rsidRPr="0045144A">
        <w:rPr>
          <w:rFonts w:ascii="Times New Roman" w:eastAsia="Times New Roman" w:hAnsi="Times New Roman"/>
          <w:color w:val="000000"/>
          <w:sz w:val="24"/>
          <w:szCs w:val="24"/>
          <w:lang w:eastAsia="pt-BR"/>
        </w:rPr>
        <w:t>-19 trouxe novos desafios à interação médico-paciente, entre eles o uso de sistemas de comunicação e a telemedicina</w:t>
      </w:r>
      <w:r>
        <w:rPr>
          <w:rFonts w:ascii="Times New Roman" w:eastAsia="Times New Roman" w:hAnsi="Times New Roman"/>
          <w:color w:val="000000"/>
          <w:sz w:val="24"/>
          <w:szCs w:val="24"/>
          <w:lang w:eastAsia="pt-BR"/>
        </w:rPr>
        <w:t>.</w:t>
      </w:r>
      <w:r w:rsidR="0004460F">
        <w:rPr>
          <w:rFonts w:ascii="Times New Roman" w:eastAsia="Times New Roman" w:hAnsi="Times New Roman"/>
          <w:color w:val="000000"/>
          <w:sz w:val="24"/>
          <w:szCs w:val="24"/>
          <w:lang w:eastAsia="pt-BR"/>
        </w:rPr>
        <w:t xml:space="preserve"> Nesse contexto, a telemedicina viabilizou o acesso seguro aos serviços, diminuindo as aglomerações nas instituições de saúde.</w:t>
      </w:r>
      <w:r>
        <w:rPr>
          <w:rFonts w:ascii="Times New Roman" w:eastAsia="Times New Roman" w:hAnsi="Times New Roman"/>
          <w:color w:val="000000"/>
          <w:sz w:val="24"/>
          <w:szCs w:val="24"/>
          <w:lang w:eastAsia="pt-BR"/>
        </w:rPr>
        <w:t xml:space="preserve"> Assim, o objetivo deste estudo é compreender os impactos do uso da telemedicina na relação médico-paciente no contexto da pandemia de COVID-19. Para isso, foi realizada uma revisão narrativa da literatura</w:t>
      </w:r>
      <w:r w:rsidRPr="009E3466">
        <w:rPr>
          <w:color w:val="000000"/>
        </w:rPr>
        <w:t xml:space="preserve"> </w:t>
      </w:r>
      <w:r w:rsidRPr="009E3466">
        <w:rPr>
          <w:rFonts w:ascii="Times New Roman" w:eastAsia="Times New Roman" w:hAnsi="Times New Roman"/>
          <w:color w:val="000000"/>
          <w:sz w:val="24"/>
          <w:szCs w:val="24"/>
          <w:lang w:eastAsia="pt-BR"/>
        </w:rPr>
        <w:t>nas bases de dados Scielo, LILACS, BVS, PubMed e Google Acadêmico</w:t>
      </w:r>
      <w:r>
        <w:rPr>
          <w:rFonts w:ascii="Times New Roman" w:eastAsia="Times New Roman" w:hAnsi="Times New Roman"/>
          <w:color w:val="000000"/>
          <w:sz w:val="24"/>
          <w:szCs w:val="24"/>
          <w:lang w:eastAsia="pt-BR"/>
        </w:rPr>
        <w:t>.</w:t>
      </w:r>
      <w:r w:rsidR="0004460F">
        <w:rPr>
          <w:rFonts w:ascii="Times New Roman" w:eastAsia="Times New Roman" w:hAnsi="Times New Roman"/>
          <w:color w:val="000000"/>
          <w:sz w:val="24"/>
          <w:szCs w:val="24"/>
          <w:lang w:eastAsia="pt-BR"/>
        </w:rPr>
        <w:t xml:space="preserve"> </w:t>
      </w:r>
      <w:r w:rsidR="0004460F">
        <w:rPr>
          <w:rFonts w:ascii="Times New Roman" w:hAnsi="Times New Roman"/>
          <w:sz w:val="24"/>
          <w:szCs w:val="24"/>
        </w:rPr>
        <w:t>Como resultado, observou-se que pandemia pelo COVID-19 mudou grande parte da regulamentação da telemedicina, fazendo com que suas barreiras fossem reduzidas, possibilitando seu uso em grande escala. Além disso, foi evidenciado os benefícios e malefícios da telemedicina, incluindo as implicações na relação médico paciente. Sendo assim, estamos diante de um novo horizonte da</w:t>
      </w:r>
      <w:r w:rsidR="0004460F" w:rsidRPr="00DB332D">
        <w:rPr>
          <w:rFonts w:ascii="Times New Roman" w:hAnsi="Times New Roman"/>
          <w:sz w:val="24"/>
          <w:szCs w:val="24"/>
        </w:rPr>
        <w:t xml:space="preserve"> prática médica com implicações éticas, profissionais e econômicas, com um</w:t>
      </w:r>
      <w:r w:rsidR="0004460F">
        <w:rPr>
          <w:rFonts w:ascii="Times New Roman" w:hAnsi="Times New Roman"/>
          <w:sz w:val="24"/>
          <w:szCs w:val="24"/>
        </w:rPr>
        <w:t xml:space="preserve"> grande</w:t>
      </w:r>
      <w:r w:rsidR="0004460F" w:rsidRPr="00DB332D">
        <w:rPr>
          <w:rFonts w:ascii="Times New Roman" w:hAnsi="Times New Roman"/>
          <w:sz w:val="24"/>
          <w:szCs w:val="24"/>
        </w:rPr>
        <w:t xml:space="preserve"> potencial de ampliar o acesso aos serviços de saúde</w:t>
      </w:r>
      <w:r w:rsidR="0004460F">
        <w:rPr>
          <w:rFonts w:ascii="Times New Roman" w:hAnsi="Times New Roman"/>
          <w:sz w:val="24"/>
          <w:szCs w:val="24"/>
        </w:rPr>
        <w:t>.</w:t>
      </w:r>
    </w:p>
    <w:p w14:paraId="6018F1F0" w14:textId="77777777" w:rsidR="00E64D34" w:rsidRDefault="0004460F" w:rsidP="0004460F">
      <w:pPr>
        <w:tabs>
          <w:tab w:val="left" w:pos="5137"/>
        </w:tabs>
        <w:spacing w:after="0" w:line="240" w:lineRule="auto"/>
        <w:rPr>
          <w:rFonts w:ascii="Times New Roman" w:hAnsi="Times New Roman"/>
          <w:i/>
          <w:sz w:val="20"/>
          <w:szCs w:val="20"/>
        </w:rPr>
      </w:pPr>
      <w:r>
        <w:rPr>
          <w:rFonts w:ascii="Times New Roman" w:hAnsi="Times New Roman"/>
          <w:i/>
          <w:sz w:val="20"/>
          <w:szCs w:val="20"/>
        </w:rPr>
        <w:tab/>
      </w:r>
    </w:p>
    <w:p w14:paraId="38067DA6" w14:textId="79EFCFD3" w:rsidR="00E64D34" w:rsidRDefault="006A258C">
      <w:pPr>
        <w:spacing w:after="0" w:line="240" w:lineRule="auto"/>
        <w:rPr>
          <w:rFonts w:ascii="Times New Roman" w:hAnsi="Times New Roman"/>
          <w:i/>
          <w:sz w:val="20"/>
          <w:szCs w:val="20"/>
        </w:rPr>
      </w:pPr>
      <w:r>
        <w:rPr>
          <w:rFonts w:ascii="Times New Roman" w:hAnsi="Times New Roman"/>
          <w:i/>
          <w:sz w:val="20"/>
          <w:szCs w:val="20"/>
        </w:rPr>
        <w:t xml:space="preserve">Palavras-chave: </w:t>
      </w:r>
      <w:r w:rsidR="00125606">
        <w:rPr>
          <w:rFonts w:ascii="Times New Roman" w:hAnsi="Times New Roman"/>
          <w:i/>
          <w:sz w:val="20"/>
          <w:szCs w:val="20"/>
        </w:rPr>
        <w:t>Telemedicina; COVID-19; Relação Médico-Paciente.</w:t>
      </w:r>
    </w:p>
    <w:p w14:paraId="6322A2E6" w14:textId="77777777" w:rsidR="00634F3C" w:rsidRDefault="00634F3C">
      <w:pPr>
        <w:spacing w:after="0" w:line="240" w:lineRule="auto"/>
        <w:rPr>
          <w:rFonts w:ascii="Times New Roman" w:hAnsi="Times New Roman"/>
          <w:i/>
          <w:sz w:val="20"/>
          <w:szCs w:val="20"/>
        </w:rPr>
      </w:pPr>
    </w:p>
    <w:p w14:paraId="5EE8D9E4" w14:textId="77777777" w:rsidR="00E64D34" w:rsidRDefault="006A258C">
      <w:pPr>
        <w:spacing w:after="0" w:line="360" w:lineRule="auto"/>
        <w:rPr>
          <w:rFonts w:ascii="Times New Roman" w:hAnsi="Times New Roman"/>
          <w:b/>
          <w:color w:val="44546A"/>
          <w:sz w:val="28"/>
          <w:szCs w:val="28"/>
        </w:rPr>
      </w:pPr>
      <w:r>
        <w:rPr>
          <w:rFonts w:ascii="Times New Roman" w:hAnsi="Times New Roman"/>
          <w:b/>
          <w:color w:val="44546A"/>
          <w:sz w:val="28"/>
          <w:szCs w:val="28"/>
        </w:rPr>
        <w:t>1. INTRODUÇÃO</w:t>
      </w:r>
    </w:p>
    <w:p w14:paraId="25FBF851" w14:textId="77777777" w:rsidR="00E64D34" w:rsidRDefault="006A258C">
      <w:pPr>
        <w:spacing w:after="0" w:line="360" w:lineRule="auto"/>
        <w:ind w:firstLine="720"/>
        <w:jc w:val="both"/>
        <w:rPr>
          <w:rFonts w:ascii="Times New Roman" w:eastAsia="Times New Roman" w:hAnsi="Times New Roman"/>
          <w:sz w:val="24"/>
          <w:szCs w:val="24"/>
          <w:lang w:eastAsia="pt-BR"/>
        </w:rPr>
      </w:pPr>
      <w:r w:rsidRPr="0045144A">
        <w:rPr>
          <w:rFonts w:ascii="Times New Roman" w:eastAsia="Times New Roman" w:hAnsi="Times New Roman"/>
          <w:color w:val="000000"/>
          <w:sz w:val="24"/>
          <w:szCs w:val="24"/>
          <w:lang w:eastAsia="pt-BR"/>
        </w:rPr>
        <w:t xml:space="preserve">A pandemia de </w:t>
      </w:r>
      <w:r w:rsidR="0004460F" w:rsidRPr="0045144A">
        <w:rPr>
          <w:rFonts w:ascii="Times New Roman" w:eastAsia="Times New Roman" w:hAnsi="Times New Roman"/>
          <w:color w:val="000000"/>
          <w:sz w:val="24"/>
          <w:szCs w:val="24"/>
          <w:lang w:eastAsia="pt-BR"/>
        </w:rPr>
        <w:t>COVID</w:t>
      </w:r>
      <w:r w:rsidRPr="0045144A">
        <w:rPr>
          <w:rFonts w:ascii="Times New Roman" w:eastAsia="Times New Roman" w:hAnsi="Times New Roman"/>
          <w:color w:val="000000"/>
          <w:sz w:val="24"/>
          <w:szCs w:val="24"/>
          <w:lang w:eastAsia="pt-BR"/>
        </w:rPr>
        <w:t xml:space="preserve">-19 trouxe novos desafios à interação médico-paciente, entre eles o uso de sistemas de comunicação e a telemedicina. De acordo com </w:t>
      </w:r>
      <w:r>
        <w:rPr>
          <w:rFonts w:ascii="Times New Roman" w:eastAsia="Times New Roman" w:hAnsi="Times New Roman"/>
          <w:color w:val="000000"/>
          <w:sz w:val="24"/>
          <w:szCs w:val="24"/>
          <w:lang w:eastAsia="pt-BR"/>
        </w:rPr>
        <w:t xml:space="preserve">Flodgren </w:t>
      </w:r>
      <w:r>
        <w:rPr>
          <w:rFonts w:ascii="Times New Roman" w:eastAsia="Times New Roman" w:hAnsi="Times New Roman"/>
          <w:i/>
          <w:iCs/>
          <w:color w:val="000000"/>
          <w:sz w:val="24"/>
          <w:szCs w:val="24"/>
          <w:lang w:eastAsia="pt-BR"/>
        </w:rPr>
        <w:t>et al.</w:t>
      </w:r>
      <w:r>
        <w:rPr>
          <w:rFonts w:ascii="Times New Roman" w:eastAsia="Times New Roman" w:hAnsi="Times New Roman"/>
          <w:color w:val="000000"/>
          <w:sz w:val="24"/>
          <w:szCs w:val="24"/>
          <w:lang w:eastAsia="pt-BR"/>
        </w:rPr>
        <w:t xml:space="preserve"> (2015) a telemedicina consiste no uso de sistemas de telecomunicações para prestar cuidados de saúde à distância, o que possibilita melhorar os resultados do paciente, o acesso aos cuidados e reduzir os custos de saúde. </w:t>
      </w:r>
      <w:r>
        <w:rPr>
          <w:rFonts w:ascii="Times New Roman" w:eastAsia="Times New Roman" w:hAnsi="Times New Roman"/>
          <w:color w:val="000000"/>
          <w:sz w:val="24"/>
          <w:szCs w:val="24"/>
          <w:shd w:val="clear" w:color="auto" w:fill="FCFCFC"/>
          <w:lang w:eastAsia="pt-BR"/>
        </w:rPr>
        <w:t xml:space="preserve">Somado a isso, McDougall </w:t>
      </w:r>
      <w:r>
        <w:rPr>
          <w:rFonts w:ascii="Times New Roman" w:eastAsia="Times New Roman" w:hAnsi="Times New Roman"/>
          <w:i/>
          <w:iCs/>
          <w:color w:val="000000"/>
          <w:sz w:val="24"/>
          <w:szCs w:val="24"/>
          <w:shd w:val="clear" w:color="auto" w:fill="FCFCFC"/>
          <w:lang w:eastAsia="pt-BR"/>
        </w:rPr>
        <w:t>et al.</w:t>
      </w:r>
      <w:r>
        <w:rPr>
          <w:rFonts w:ascii="Times New Roman" w:eastAsia="Times New Roman" w:hAnsi="Times New Roman"/>
          <w:color w:val="000000"/>
          <w:sz w:val="24"/>
          <w:szCs w:val="24"/>
          <w:shd w:val="clear" w:color="auto" w:fill="FCFCFC"/>
          <w:lang w:eastAsia="pt-BR"/>
        </w:rPr>
        <w:t xml:space="preserve"> (2017) complementam o conceito quando dizem que é responsável por oferecer assistência médica ao paciente, saúde pública e educação em saúde usando as tecnologias de telecomunicações. </w:t>
      </w:r>
    </w:p>
    <w:p w14:paraId="4E71F1E6" w14:textId="77777777" w:rsidR="00E64D34" w:rsidRDefault="006A258C">
      <w:pPr>
        <w:spacing w:after="0" w:line="360" w:lineRule="auto"/>
        <w:ind w:firstLine="720"/>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lastRenderedPageBreak/>
        <w:t xml:space="preserve">Hasani </w:t>
      </w:r>
      <w:r>
        <w:rPr>
          <w:rFonts w:ascii="Times New Roman" w:eastAsia="Times New Roman" w:hAnsi="Times New Roman"/>
          <w:i/>
          <w:iCs/>
          <w:color w:val="000000"/>
          <w:sz w:val="24"/>
          <w:szCs w:val="24"/>
          <w:lang w:eastAsia="pt-BR"/>
        </w:rPr>
        <w:t>et al.</w:t>
      </w:r>
      <w:r>
        <w:rPr>
          <w:rFonts w:ascii="Times New Roman" w:eastAsia="Times New Roman" w:hAnsi="Times New Roman"/>
          <w:color w:val="000000"/>
          <w:sz w:val="24"/>
          <w:szCs w:val="24"/>
          <w:lang w:eastAsia="pt-BR"/>
        </w:rPr>
        <w:t xml:space="preserve"> (2020) relatam que a pandemia de COVID-19 modificou a forma de como os serviços de saúde são oferecidos em todo o mundo. Nesse viés, a telemedicina surgiu como uma alternativa tecnológica para levar atendimento aos paciente</w:t>
      </w:r>
      <w:r w:rsidRPr="0045144A">
        <w:rPr>
          <w:rFonts w:ascii="Times New Roman" w:eastAsia="Times New Roman" w:hAnsi="Times New Roman"/>
          <w:color w:val="000000"/>
          <w:sz w:val="24"/>
          <w:szCs w:val="24"/>
          <w:lang w:eastAsia="pt-BR"/>
        </w:rPr>
        <w:t>s no contexto do distanciamento social</w:t>
      </w:r>
      <w:r>
        <w:rPr>
          <w:rFonts w:ascii="Times New Roman" w:eastAsia="Times New Roman" w:hAnsi="Times New Roman"/>
          <w:color w:val="000000"/>
          <w:sz w:val="24"/>
          <w:szCs w:val="24"/>
          <w:lang w:eastAsia="pt-BR"/>
        </w:rPr>
        <w:t>.</w:t>
      </w:r>
    </w:p>
    <w:p w14:paraId="0459E06C" w14:textId="77777777" w:rsidR="0045144A" w:rsidRDefault="00F67037">
      <w:pPr>
        <w:spacing w:after="0" w:line="360" w:lineRule="auto"/>
        <w:ind w:firstLine="720"/>
        <w:jc w:val="both"/>
        <w:rPr>
          <w:rFonts w:ascii="Times New Roman" w:eastAsia="Times New Roman" w:hAnsi="Times New Roman"/>
          <w:sz w:val="24"/>
          <w:szCs w:val="24"/>
          <w:lang w:eastAsia="pt-BR"/>
        </w:rPr>
      </w:pPr>
      <w:r>
        <w:rPr>
          <w:rFonts w:ascii="Times New Roman" w:eastAsia="Times New Roman" w:hAnsi="Times New Roman"/>
          <w:color w:val="000000"/>
          <w:sz w:val="24"/>
          <w:szCs w:val="24"/>
          <w:lang w:eastAsia="pt-BR"/>
        </w:rPr>
        <w:t>A Resolução do Conselho Federal de Medicina (CFM) nº 1643/2002 define e regulamenta as atividades em telemedicina para assistência, educação e pesquisa em saúde. Em seguida, essa Resolução foi revogada e substituída pela de nº 2227/2018, a qual permitiu o uso da telemedicina no território nacional e organizou melhor os aspectos dessa prática. Por fim, através da Resolução do CFM nº 2228/2019, foi revogada a Resolução nº 2227/2018 e reestabelecida a de nº 1643/2002.</w:t>
      </w:r>
    </w:p>
    <w:p w14:paraId="070336E0" w14:textId="77777777" w:rsidR="0045144A" w:rsidRPr="0045144A" w:rsidRDefault="00DB332D">
      <w:pPr>
        <w:spacing w:after="0" w:line="360" w:lineRule="auto"/>
        <w:ind w:firstLine="720"/>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No ano de 2020</w:t>
      </w:r>
      <w:r w:rsidR="006A258C">
        <w:rPr>
          <w:rFonts w:ascii="Times New Roman" w:eastAsia="Times New Roman" w:hAnsi="Times New Roman"/>
          <w:color w:val="000000"/>
          <w:sz w:val="24"/>
          <w:szCs w:val="24"/>
          <w:lang w:eastAsia="pt-BR"/>
        </w:rPr>
        <w:t xml:space="preserve">, </w:t>
      </w:r>
      <w:r w:rsidR="006A258C" w:rsidRPr="0045144A">
        <w:rPr>
          <w:rFonts w:ascii="Times New Roman" w:eastAsia="Times New Roman" w:hAnsi="Times New Roman"/>
          <w:color w:val="000000"/>
          <w:sz w:val="24"/>
          <w:szCs w:val="24"/>
          <w:lang w:eastAsia="pt-BR"/>
        </w:rPr>
        <w:t>pel</w:t>
      </w:r>
      <w:r w:rsidR="006A258C">
        <w:rPr>
          <w:rFonts w:ascii="Times New Roman" w:eastAsia="Times New Roman" w:hAnsi="Times New Roman"/>
          <w:color w:val="000000"/>
          <w:sz w:val="24"/>
          <w:szCs w:val="24"/>
          <w:lang w:eastAsia="pt-BR"/>
        </w:rPr>
        <w:t>a Lei nº 13.989/20,</w:t>
      </w:r>
      <w:r>
        <w:rPr>
          <w:rFonts w:ascii="Times New Roman" w:eastAsia="Times New Roman" w:hAnsi="Times New Roman"/>
          <w:color w:val="000000"/>
          <w:sz w:val="24"/>
          <w:szCs w:val="24"/>
          <w:lang w:eastAsia="pt-BR"/>
        </w:rPr>
        <w:t xml:space="preserve"> a telemedicina foi</w:t>
      </w:r>
      <w:r w:rsidR="006A258C">
        <w:rPr>
          <w:rFonts w:ascii="Times New Roman" w:eastAsia="Times New Roman" w:hAnsi="Times New Roman"/>
          <w:color w:val="000000"/>
          <w:sz w:val="24"/>
          <w:szCs w:val="24"/>
          <w:lang w:eastAsia="pt-BR"/>
        </w:rPr>
        <w:t xml:space="preserve"> sancionada em caráter emergencial. Segundo </w:t>
      </w:r>
      <w:r>
        <w:rPr>
          <w:rFonts w:ascii="Times New Roman" w:eastAsia="Times New Roman" w:hAnsi="Times New Roman"/>
          <w:color w:val="000000"/>
          <w:sz w:val="24"/>
          <w:szCs w:val="24"/>
          <w:lang w:eastAsia="pt-BR"/>
        </w:rPr>
        <w:t>esta Lei</w:t>
      </w:r>
      <w:r w:rsidR="006A258C">
        <w:rPr>
          <w:rFonts w:ascii="Times New Roman" w:eastAsia="Times New Roman" w:hAnsi="Times New Roman"/>
          <w:color w:val="000000"/>
          <w:sz w:val="24"/>
          <w:szCs w:val="24"/>
          <w:lang w:eastAsia="pt-BR"/>
        </w:rPr>
        <w:t xml:space="preserve">, a prática definida como “o exercício da medicina mediado por tecnologias para fins de assistência, pesquisa, prevenção de doenças e lesões e promoção de saúde” fica liberada no país temporariamente, apenas durante a pandemia </w:t>
      </w:r>
      <w:r w:rsidR="006A258C" w:rsidRPr="00DB332D">
        <w:rPr>
          <w:rFonts w:ascii="Times New Roman" w:eastAsia="Times New Roman" w:hAnsi="Times New Roman"/>
          <w:sz w:val="24"/>
          <w:szCs w:val="24"/>
          <w:lang w:eastAsia="pt-BR"/>
        </w:rPr>
        <w:t>(CFM, 2020).</w:t>
      </w:r>
    </w:p>
    <w:p w14:paraId="215CE63A" w14:textId="77777777" w:rsidR="00E64D34" w:rsidRDefault="006A258C">
      <w:pPr>
        <w:spacing w:after="0" w:line="360" w:lineRule="auto"/>
        <w:ind w:firstLine="720"/>
        <w:jc w:val="both"/>
        <w:rPr>
          <w:rFonts w:ascii="Times New Roman" w:eastAsia="Times New Roman" w:hAnsi="Times New Roman"/>
          <w:sz w:val="24"/>
          <w:szCs w:val="24"/>
          <w:lang w:eastAsia="pt-BR"/>
        </w:rPr>
      </w:pPr>
      <w:r>
        <w:rPr>
          <w:rFonts w:ascii="Times New Roman" w:eastAsia="Times New Roman" w:hAnsi="Times New Roman"/>
          <w:color w:val="000000"/>
          <w:sz w:val="24"/>
          <w:szCs w:val="24"/>
          <w:lang w:eastAsia="pt-BR"/>
        </w:rPr>
        <w:t xml:space="preserve">Nesse contexto, a telemedicina viabilizou o acesso seguro aos serviços, diminuindo as aglomerações nas instituições de saúde. Além disso, foi possível ofertar a continuidade dos atendimentos já existentes, sem a exposição do paciente a locais contaminados (DE BRITO MEDEIROS 2020 </w:t>
      </w:r>
      <w:r>
        <w:rPr>
          <w:rFonts w:ascii="Times New Roman" w:eastAsia="Times New Roman" w:hAnsi="Times New Roman"/>
          <w:i/>
          <w:iCs/>
          <w:color w:val="000000"/>
          <w:sz w:val="24"/>
          <w:szCs w:val="24"/>
          <w:lang w:eastAsia="pt-BR"/>
        </w:rPr>
        <w:t>apud</w:t>
      </w:r>
      <w:r>
        <w:rPr>
          <w:rFonts w:ascii="Times New Roman" w:eastAsia="Times New Roman" w:hAnsi="Times New Roman"/>
          <w:color w:val="000000"/>
          <w:sz w:val="24"/>
          <w:szCs w:val="24"/>
          <w:lang w:eastAsia="pt-BR"/>
        </w:rPr>
        <w:t xml:space="preserve"> Holstead &amp; Robinson, 2020; Wang </w:t>
      </w:r>
      <w:r>
        <w:rPr>
          <w:rFonts w:ascii="Times New Roman" w:eastAsia="Times New Roman" w:hAnsi="Times New Roman"/>
          <w:i/>
          <w:iCs/>
          <w:color w:val="000000"/>
          <w:sz w:val="24"/>
          <w:szCs w:val="24"/>
          <w:lang w:eastAsia="pt-BR"/>
        </w:rPr>
        <w:t>et al.</w:t>
      </w:r>
      <w:r>
        <w:rPr>
          <w:rFonts w:ascii="Times New Roman" w:eastAsia="Times New Roman" w:hAnsi="Times New Roman"/>
          <w:color w:val="000000"/>
          <w:sz w:val="24"/>
          <w:szCs w:val="24"/>
          <w:lang w:eastAsia="pt-BR"/>
        </w:rPr>
        <w:t>, 2020). </w:t>
      </w:r>
    </w:p>
    <w:p w14:paraId="03F8F10D" w14:textId="77777777" w:rsidR="00E64D34" w:rsidRDefault="006A258C">
      <w:pPr>
        <w:spacing w:after="0" w:line="360" w:lineRule="auto"/>
        <w:ind w:firstLine="720"/>
        <w:jc w:val="both"/>
        <w:rPr>
          <w:rFonts w:ascii="Times New Roman" w:eastAsia="Times New Roman" w:hAnsi="Times New Roman"/>
          <w:sz w:val="24"/>
          <w:szCs w:val="24"/>
          <w:lang w:eastAsia="pt-BR"/>
        </w:rPr>
      </w:pPr>
      <w:r>
        <w:rPr>
          <w:rFonts w:ascii="Times New Roman" w:eastAsia="Times New Roman" w:hAnsi="Times New Roman"/>
          <w:color w:val="000000"/>
          <w:sz w:val="24"/>
          <w:szCs w:val="24"/>
          <w:lang w:eastAsia="pt-BR"/>
        </w:rPr>
        <w:t xml:space="preserve">No entanto, Gomez </w:t>
      </w:r>
      <w:r>
        <w:rPr>
          <w:rFonts w:ascii="Times New Roman" w:eastAsia="Times New Roman" w:hAnsi="Times New Roman"/>
          <w:i/>
          <w:color w:val="000000"/>
          <w:sz w:val="24"/>
          <w:szCs w:val="24"/>
          <w:lang w:eastAsia="pt-BR"/>
        </w:rPr>
        <w:t>et al.</w:t>
      </w:r>
      <w:r>
        <w:rPr>
          <w:rFonts w:ascii="Times New Roman" w:eastAsia="Times New Roman" w:hAnsi="Times New Roman"/>
          <w:color w:val="000000"/>
          <w:sz w:val="24"/>
          <w:szCs w:val="24"/>
          <w:lang w:eastAsia="pt-BR"/>
        </w:rPr>
        <w:t xml:space="preserve"> (2021) mostram que diversos estudos recentes abordam os desafios dos médicos em implementar a telemedicina rapidamente, como resposta à pandemia</w:t>
      </w:r>
      <w:r w:rsidRPr="0045144A">
        <w:rPr>
          <w:rFonts w:ascii="Times New Roman" w:eastAsia="Times New Roman" w:hAnsi="Times New Roman"/>
          <w:color w:val="000000"/>
          <w:sz w:val="24"/>
          <w:szCs w:val="24"/>
          <w:lang w:eastAsia="pt-BR"/>
        </w:rPr>
        <w:t xml:space="preserve"> e</w:t>
      </w:r>
      <w:r>
        <w:rPr>
          <w:rFonts w:ascii="Times New Roman" w:eastAsia="Times New Roman" w:hAnsi="Times New Roman"/>
          <w:color w:val="000000"/>
          <w:sz w:val="24"/>
          <w:szCs w:val="24"/>
          <w:lang w:eastAsia="pt-BR"/>
        </w:rPr>
        <w:t xml:space="preserve"> ressaltam as barreiras ao acesso do paciente a esse serviço, como o impacto na relação médico-paciente, </w:t>
      </w:r>
      <w:r w:rsidRPr="0045144A">
        <w:rPr>
          <w:rFonts w:ascii="Times New Roman" w:eastAsia="Times New Roman" w:hAnsi="Times New Roman"/>
          <w:color w:val="000000"/>
          <w:sz w:val="24"/>
          <w:szCs w:val="24"/>
          <w:lang w:eastAsia="pt-BR"/>
        </w:rPr>
        <w:t xml:space="preserve">e </w:t>
      </w:r>
      <w:r>
        <w:rPr>
          <w:rFonts w:ascii="Times New Roman" w:eastAsia="Times New Roman" w:hAnsi="Times New Roman"/>
          <w:color w:val="000000"/>
          <w:sz w:val="24"/>
          <w:szCs w:val="24"/>
          <w:lang w:eastAsia="pt-BR"/>
        </w:rPr>
        <w:t>a perda de conexões pessoais.</w:t>
      </w:r>
    </w:p>
    <w:p w14:paraId="4DC07DB1" w14:textId="35BF2008" w:rsidR="00634F3C" w:rsidRPr="00634F3C" w:rsidRDefault="006A258C" w:rsidP="00634F3C">
      <w:pPr>
        <w:spacing w:after="0" w:line="360" w:lineRule="auto"/>
        <w:ind w:firstLine="720"/>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O objetivo deste estudo é realizar uma revisão</w:t>
      </w:r>
      <w:r w:rsidRPr="0045144A">
        <w:rPr>
          <w:rFonts w:ascii="Times New Roman" w:eastAsia="Times New Roman" w:hAnsi="Times New Roman"/>
          <w:color w:val="000000"/>
          <w:sz w:val="24"/>
          <w:szCs w:val="24"/>
          <w:lang w:eastAsia="pt-BR"/>
        </w:rPr>
        <w:t xml:space="preserve"> narrativa</w:t>
      </w:r>
      <w:r>
        <w:rPr>
          <w:rFonts w:ascii="Times New Roman" w:eastAsia="Times New Roman" w:hAnsi="Times New Roman"/>
          <w:color w:val="000000"/>
          <w:sz w:val="24"/>
          <w:szCs w:val="24"/>
          <w:lang w:eastAsia="pt-BR"/>
        </w:rPr>
        <w:t xml:space="preserve"> da literatura para compreender os impactos do uso da telemedicina na relação médico-paciente no contexto da pandemia de COVID-19. Além disso, buscou analisar as barreiras e os benefícios da implementação da telessaúde.</w:t>
      </w:r>
    </w:p>
    <w:p w14:paraId="545012FB" w14:textId="77777777" w:rsidR="00E64D34" w:rsidRDefault="006A258C">
      <w:pPr>
        <w:rPr>
          <w:rFonts w:ascii="Times New Roman" w:hAnsi="Times New Roman"/>
          <w:b/>
          <w:color w:val="1F3864"/>
          <w:sz w:val="28"/>
          <w:szCs w:val="28"/>
        </w:rPr>
      </w:pPr>
      <w:r>
        <w:rPr>
          <w:rFonts w:ascii="Times New Roman" w:hAnsi="Times New Roman"/>
          <w:b/>
          <w:color w:val="1F3864"/>
          <w:sz w:val="28"/>
          <w:szCs w:val="28"/>
        </w:rPr>
        <w:t>2. MÉTODO</w:t>
      </w:r>
    </w:p>
    <w:p w14:paraId="2E095D13" w14:textId="38447812" w:rsidR="00634F3C" w:rsidRPr="00634F3C" w:rsidRDefault="006A258C" w:rsidP="00634F3C">
      <w:pPr>
        <w:pStyle w:val="NormalWeb"/>
        <w:spacing w:before="240" w:beforeAutospacing="0" w:after="0" w:afterAutospacing="0" w:line="360" w:lineRule="auto"/>
        <w:ind w:firstLine="720"/>
        <w:jc w:val="both"/>
        <w:rPr>
          <w:color w:val="000000"/>
          <w:sz w:val="14"/>
          <w:szCs w:val="14"/>
        </w:rPr>
      </w:pPr>
      <w:r>
        <w:rPr>
          <w:color w:val="000000"/>
        </w:rPr>
        <w:t>Foi realizada uma revisão de literatura nas bases de dados Scielo, LILACS, BVS, PubMed e Google Acadêmico, buscando analisar os impactos da telemedicina na relação médico-paciente, no contexto da pandemia de COVID-19. Foram encontrados 1.165 artigos utilizando os descritores “Telemedicine”, “COVID-19” e “</w:t>
      </w:r>
      <w:r>
        <w:rPr>
          <w:color w:val="000000"/>
          <w:shd w:val="clear" w:color="auto" w:fill="FFFFFF"/>
        </w:rPr>
        <w:t xml:space="preserve">Physician-Patient </w:t>
      </w:r>
      <w:r>
        <w:rPr>
          <w:color w:val="000000"/>
          <w:shd w:val="clear" w:color="auto" w:fill="FFFFFF"/>
        </w:rPr>
        <w:lastRenderedPageBreak/>
        <w:t xml:space="preserve">Relations” no período de </w:t>
      </w:r>
      <w:r>
        <w:rPr>
          <w:color w:val="000000"/>
        </w:rPr>
        <w:t xml:space="preserve">2015 a 2021, resultando em 930 documentos. Desses, foram excluídos os artigos que apareceram em duplicata, aqueles que não possuíam relação com o tema escolhido e aqueles que não estavam acessíveis. Finalmente, a busca resultou em </w:t>
      </w:r>
      <w:r w:rsidR="00691335">
        <w:rPr>
          <w:color w:val="000000"/>
        </w:rPr>
        <w:t>13</w:t>
      </w:r>
      <w:r w:rsidRPr="00691335">
        <w:rPr>
          <w:color w:val="000000"/>
        </w:rPr>
        <w:t xml:space="preserve"> artigos.</w:t>
      </w:r>
    </w:p>
    <w:p w14:paraId="3B17E200" w14:textId="77777777" w:rsidR="00E64D34" w:rsidRDefault="006A258C">
      <w:pPr>
        <w:rPr>
          <w:rFonts w:ascii="Times New Roman" w:hAnsi="Times New Roman"/>
          <w:b/>
          <w:color w:val="44546A"/>
          <w:sz w:val="28"/>
          <w:szCs w:val="28"/>
        </w:rPr>
      </w:pPr>
      <w:r>
        <w:rPr>
          <w:rFonts w:ascii="Times New Roman" w:hAnsi="Times New Roman"/>
          <w:b/>
          <w:color w:val="44546A"/>
          <w:sz w:val="28"/>
          <w:szCs w:val="28"/>
        </w:rPr>
        <w:t>3. RESULTADOS E DISCUSSÃO</w:t>
      </w:r>
    </w:p>
    <w:p w14:paraId="1E45FDA8" w14:textId="77777777" w:rsidR="00E64D34" w:rsidRDefault="006A258C">
      <w:pPr>
        <w:spacing w:after="0" w:line="360" w:lineRule="auto"/>
        <w:ind w:firstLine="709"/>
        <w:jc w:val="both"/>
        <w:rPr>
          <w:rFonts w:ascii="Times New Roman" w:hAnsi="Times New Roman"/>
          <w:sz w:val="24"/>
          <w:szCs w:val="24"/>
        </w:rPr>
      </w:pPr>
      <w:r>
        <w:rPr>
          <w:rFonts w:ascii="Times New Roman" w:hAnsi="Times New Roman"/>
          <w:sz w:val="24"/>
          <w:szCs w:val="24"/>
        </w:rPr>
        <w:t xml:space="preserve">Conforme definido pela Organização Mundial de Saúde (OMS), a telemedicina é a “prestação de serviços de saúde, onde os pacientes e os provedores são separados por uma distância” (DI TRANA </w:t>
      </w:r>
      <w:r w:rsidRPr="00DB332D">
        <w:rPr>
          <w:rFonts w:ascii="Times New Roman" w:hAnsi="Times New Roman"/>
          <w:i/>
          <w:sz w:val="24"/>
          <w:szCs w:val="24"/>
        </w:rPr>
        <w:t>et al.</w:t>
      </w:r>
      <w:r>
        <w:rPr>
          <w:rFonts w:ascii="Times New Roman" w:hAnsi="Times New Roman"/>
          <w:sz w:val="24"/>
          <w:szCs w:val="24"/>
        </w:rPr>
        <w:t xml:space="preserve">, 2021 apud WHO, 2021). O uso dessa ferramenta engloba várias tecnologias: ligação por voz, consultas por vídeo chamada e interações habilitadas por aplicativos móveis (Silver </w:t>
      </w:r>
      <w:r>
        <w:rPr>
          <w:rFonts w:ascii="Times New Roman" w:hAnsi="Times New Roman"/>
          <w:i/>
          <w:iCs/>
          <w:sz w:val="24"/>
          <w:szCs w:val="24"/>
        </w:rPr>
        <w:t xml:space="preserve">et al., </w:t>
      </w:r>
      <w:r>
        <w:rPr>
          <w:rFonts w:ascii="Times New Roman" w:hAnsi="Times New Roman"/>
          <w:sz w:val="24"/>
          <w:szCs w:val="24"/>
        </w:rPr>
        <w:t>2021). </w:t>
      </w:r>
    </w:p>
    <w:p w14:paraId="7E20DFD5" w14:textId="77777777" w:rsidR="00E64D34" w:rsidRDefault="006A258C">
      <w:pPr>
        <w:spacing w:after="0" w:line="360" w:lineRule="auto"/>
        <w:ind w:firstLine="709"/>
        <w:jc w:val="both"/>
        <w:rPr>
          <w:rFonts w:ascii="Times New Roman" w:hAnsi="Times New Roman"/>
          <w:sz w:val="24"/>
          <w:szCs w:val="24"/>
        </w:rPr>
      </w:pPr>
      <w:r>
        <w:rPr>
          <w:rFonts w:ascii="Times New Roman" w:hAnsi="Times New Roman"/>
          <w:sz w:val="24"/>
          <w:szCs w:val="24"/>
        </w:rPr>
        <w:t xml:space="preserve">Hammersley et al. (2019, </w:t>
      </w:r>
      <w:r>
        <w:rPr>
          <w:rFonts w:ascii="Times New Roman" w:hAnsi="Times New Roman"/>
          <w:i/>
          <w:iCs/>
          <w:sz w:val="24"/>
          <w:szCs w:val="24"/>
        </w:rPr>
        <w:t>apud</w:t>
      </w:r>
      <w:r>
        <w:rPr>
          <w:rFonts w:ascii="Times New Roman" w:hAnsi="Times New Roman"/>
          <w:sz w:val="24"/>
          <w:szCs w:val="24"/>
        </w:rPr>
        <w:t xml:space="preserve"> IMISON </w:t>
      </w:r>
      <w:r>
        <w:rPr>
          <w:rFonts w:ascii="Times New Roman" w:hAnsi="Times New Roman"/>
          <w:i/>
          <w:iCs/>
          <w:sz w:val="24"/>
          <w:szCs w:val="24"/>
        </w:rPr>
        <w:t>et al</w:t>
      </w:r>
      <w:r>
        <w:rPr>
          <w:rFonts w:ascii="Times New Roman" w:hAnsi="Times New Roman"/>
          <w:sz w:val="24"/>
          <w:szCs w:val="24"/>
        </w:rPr>
        <w:t>., 2016) referem que o uso dessas tecnologias de comunicação é fundamental para a vida contemporânea, mas não são usadas rotineiramente para a comunicação entre o médico e o paciente. No entanto, Gomez</w:t>
      </w:r>
      <w:r>
        <w:rPr>
          <w:rFonts w:ascii="Times New Roman" w:hAnsi="Times New Roman"/>
          <w:i/>
          <w:iCs/>
          <w:sz w:val="24"/>
          <w:szCs w:val="24"/>
        </w:rPr>
        <w:t xml:space="preserve"> et al.</w:t>
      </w:r>
      <w:r>
        <w:rPr>
          <w:rFonts w:ascii="Times New Roman" w:hAnsi="Times New Roman"/>
          <w:sz w:val="24"/>
          <w:szCs w:val="24"/>
        </w:rPr>
        <w:t xml:space="preserve"> (2021) ressaltam que a pandemia pelo COVID-19 mudou grande parte da regulamentação da telemedicina, fazendo com que suas barreiras fossem reduzidas, possibilitando seu uso em grande escala. Silver </w:t>
      </w:r>
      <w:r>
        <w:rPr>
          <w:rFonts w:ascii="Times New Roman" w:hAnsi="Times New Roman"/>
          <w:i/>
          <w:iCs/>
          <w:sz w:val="24"/>
          <w:szCs w:val="24"/>
        </w:rPr>
        <w:t xml:space="preserve">et al. </w:t>
      </w:r>
      <w:r>
        <w:rPr>
          <w:rFonts w:ascii="Times New Roman" w:hAnsi="Times New Roman"/>
          <w:sz w:val="24"/>
          <w:szCs w:val="24"/>
        </w:rPr>
        <w:t>(2021) complementam essa ideia ao alegar que, a partir de março de 2020, a tecnologia ganhou mais espaço e visibilidade na assistência à saúde.</w:t>
      </w:r>
    </w:p>
    <w:p w14:paraId="4E37EB5C" w14:textId="77777777" w:rsidR="00E64D34" w:rsidRDefault="006A258C">
      <w:pPr>
        <w:spacing w:after="0" w:line="360" w:lineRule="auto"/>
        <w:ind w:firstLine="709"/>
        <w:jc w:val="both"/>
        <w:rPr>
          <w:rFonts w:ascii="Times New Roman" w:hAnsi="Times New Roman"/>
          <w:sz w:val="24"/>
          <w:szCs w:val="24"/>
        </w:rPr>
      </w:pPr>
      <w:r>
        <w:rPr>
          <w:rFonts w:ascii="Times New Roman" w:hAnsi="Times New Roman"/>
          <w:sz w:val="24"/>
          <w:szCs w:val="24"/>
        </w:rPr>
        <w:t xml:space="preserve">Com esses avanços, Flodgren </w:t>
      </w:r>
      <w:r>
        <w:rPr>
          <w:rFonts w:ascii="Times New Roman" w:hAnsi="Times New Roman"/>
          <w:i/>
          <w:iCs/>
          <w:sz w:val="24"/>
          <w:szCs w:val="24"/>
        </w:rPr>
        <w:t xml:space="preserve">et al. </w:t>
      </w:r>
      <w:r>
        <w:rPr>
          <w:rFonts w:ascii="Times New Roman" w:hAnsi="Times New Roman"/>
          <w:sz w:val="24"/>
          <w:szCs w:val="24"/>
        </w:rPr>
        <w:t xml:space="preserve">(2015) relatam que é importante entender o impacto que pode ter nos pacientes, profissionais de saúde e na organização do atendimento. Quispe e Udai (2020 </w:t>
      </w:r>
      <w:r>
        <w:rPr>
          <w:rFonts w:ascii="Times New Roman" w:hAnsi="Times New Roman"/>
          <w:i/>
          <w:iCs/>
          <w:sz w:val="24"/>
          <w:szCs w:val="24"/>
        </w:rPr>
        <w:t xml:space="preserve">apud </w:t>
      </w:r>
      <w:r>
        <w:rPr>
          <w:rFonts w:ascii="Times New Roman" w:hAnsi="Times New Roman"/>
          <w:sz w:val="24"/>
          <w:szCs w:val="24"/>
        </w:rPr>
        <w:t xml:space="preserve">CHAET </w:t>
      </w:r>
      <w:r>
        <w:rPr>
          <w:rFonts w:ascii="Times New Roman" w:hAnsi="Times New Roman"/>
          <w:i/>
          <w:sz w:val="24"/>
          <w:szCs w:val="24"/>
        </w:rPr>
        <w:t>et al.,</w:t>
      </w:r>
      <w:r>
        <w:rPr>
          <w:rFonts w:ascii="Times New Roman" w:hAnsi="Times New Roman"/>
          <w:sz w:val="24"/>
          <w:szCs w:val="24"/>
        </w:rPr>
        <w:t xml:space="preserve"> 2017)</w:t>
      </w:r>
      <w:r>
        <w:rPr>
          <w:rFonts w:ascii="Times New Roman" w:hAnsi="Times New Roman"/>
          <w:i/>
          <w:iCs/>
          <w:sz w:val="24"/>
          <w:szCs w:val="24"/>
        </w:rPr>
        <w:t xml:space="preserve"> </w:t>
      </w:r>
      <w:r>
        <w:rPr>
          <w:rFonts w:ascii="Times New Roman" w:hAnsi="Times New Roman"/>
          <w:sz w:val="24"/>
          <w:szCs w:val="24"/>
        </w:rPr>
        <w:t>reconhecem que a telemedicina tem potencial significativo para beneficiar os pacientes, mas ressalta que ela também apresenta desafios. Os mesmos autores complementam que seu uso pode criar novos riscos para a qualidade, segurança e continuidade do cuidado em saúde.</w:t>
      </w:r>
    </w:p>
    <w:p w14:paraId="524D015C" w14:textId="77777777" w:rsidR="00E64D34" w:rsidRDefault="006A258C">
      <w:pPr>
        <w:spacing w:after="0" w:line="360" w:lineRule="auto"/>
        <w:ind w:firstLine="709"/>
        <w:jc w:val="both"/>
        <w:rPr>
          <w:rFonts w:ascii="Times New Roman" w:hAnsi="Times New Roman"/>
          <w:sz w:val="24"/>
          <w:szCs w:val="24"/>
        </w:rPr>
      </w:pPr>
      <w:r>
        <w:rPr>
          <w:rFonts w:ascii="Times New Roman" w:hAnsi="Times New Roman"/>
          <w:sz w:val="24"/>
          <w:szCs w:val="24"/>
        </w:rPr>
        <w:t xml:space="preserve">Em consonância, Gomez </w:t>
      </w:r>
      <w:r>
        <w:rPr>
          <w:rFonts w:ascii="Times New Roman" w:hAnsi="Times New Roman"/>
          <w:i/>
          <w:sz w:val="24"/>
          <w:szCs w:val="24"/>
        </w:rPr>
        <w:t>et al.</w:t>
      </w:r>
      <w:r>
        <w:rPr>
          <w:rFonts w:ascii="Times New Roman" w:hAnsi="Times New Roman"/>
          <w:sz w:val="24"/>
          <w:szCs w:val="24"/>
        </w:rPr>
        <w:t xml:space="preserve"> (2021) mostram que muitos profissionais observaram que a telemedicina não era acessível a todos os pacientes. De acordo com eles, algumas pessoas não conseguem utilizar smartphones para realizar as consultas, principalmente os idosos.</w:t>
      </w:r>
    </w:p>
    <w:p w14:paraId="6F3A1790" w14:textId="77777777" w:rsidR="00E64D34" w:rsidRDefault="006A258C">
      <w:pPr>
        <w:spacing w:after="0" w:line="360" w:lineRule="auto"/>
        <w:ind w:firstLine="709"/>
        <w:jc w:val="both"/>
        <w:rPr>
          <w:rFonts w:ascii="Times New Roman" w:hAnsi="Times New Roman"/>
          <w:sz w:val="24"/>
          <w:szCs w:val="24"/>
        </w:rPr>
      </w:pPr>
      <w:r>
        <w:rPr>
          <w:rFonts w:ascii="Times New Roman" w:hAnsi="Times New Roman"/>
          <w:sz w:val="24"/>
          <w:szCs w:val="24"/>
        </w:rPr>
        <w:t>Silver</w:t>
      </w:r>
      <w:r>
        <w:rPr>
          <w:rFonts w:ascii="Times New Roman" w:hAnsi="Times New Roman"/>
          <w:i/>
          <w:iCs/>
          <w:sz w:val="24"/>
          <w:szCs w:val="24"/>
        </w:rPr>
        <w:t xml:space="preserve"> et al.</w:t>
      </w:r>
      <w:r>
        <w:rPr>
          <w:rFonts w:ascii="Times New Roman" w:hAnsi="Times New Roman"/>
          <w:sz w:val="24"/>
          <w:szCs w:val="24"/>
        </w:rPr>
        <w:t xml:space="preserve"> (2021) ressaltam que outro ponto negativo dos atendimentos de telemedicina é que poucos médicos recebem treinamento adequado para utilizar a tecnologia e interagir com os pacientes. Segundo van Tubergen </w:t>
      </w:r>
      <w:r>
        <w:rPr>
          <w:rFonts w:ascii="Times New Roman" w:hAnsi="Times New Roman"/>
          <w:i/>
          <w:iCs/>
          <w:sz w:val="24"/>
          <w:szCs w:val="24"/>
        </w:rPr>
        <w:t xml:space="preserve">et al. </w:t>
      </w:r>
      <w:r>
        <w:rPr>
          <w:rFonts w:ascii="Times New Roman" w:hAnsi="Times New Roman"/>
          <w:sz w:val="24"/>
          <w:szCs w:val="24"/>
        </w:rPr>
        <w:t>(2021), as questões técnicas também desempenham um papel importante na condução de uma conversa tranquila com o paciente.</w:t>
      </w:r>
    </w:p>
    <w:p w14:paraId="22A6D3CB" w14:textId="77777777" w:rsidR="00E64D34" w:rsidRDefault="006A258C">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Outra barreira da telemedicina foi percebida no estudo de Hasani </w:t>
      </w:r>
      <w:r>
        <w:rPr>
          <w:rFonts w:ascii="Times New Roman" w:hAnsi="Times New Roman"/>
          <w:i/>
          <w:iCs/>
          <w:sz w:val="24"/>
          <w:szCs w:val="24"/>
        </w:rPr>
        <w:t>et al</w:t>
      </w:r>
      <w:r>
        <w:rPr>
          <w:rFonts w:ascii="Times New Roman" w:hAnsi="Times New Roman"/>
          <w:sz w:val="24"/>
          <w:szCs w:val="24"/>
        </w:rPr>
        <w:t xml:space="preserve">. (2020), que consiste na limitação quanto ao exame físico. No entanto, Lee </w:t>
      </w:r>
      <w:r>
        <w:rPr>
          <w:rFonts w:ascii="Times New Roman" w:hAnsi="Times New Roman"/>
          <w:i/>
          <w:iCs/>
          <w:sz w:val="24"/>
          <w:szCs w:val="24"/>
        </w:rPr>
        <w:t>et al.</w:t>
      </w:r>
      <w:r>
        <w:rPr>
          <w:rFonts w:ascii="Times New Roman" w:hAnsi="Times New Roman"/>
          <w:sz w:val="24"/>
          <w:szCs w:val="24"/>
        </w:rPr>
        <w:t xml:space="preserve"> (2021) relatam que existem ocasiões em que não é necessário realizar o exame físico, principalmente naquelas especialidades médicas que dependem da história clínica.</w:t>
      </w:r>
    </w:p>
    <w:p w14:paraId="7517DC8C" w14:textId="4E87762C" w:rsidR="00E64D34" w:rsidRDefault="00EF75FE">
      <w:pPr>
        <w:spacing w:after="0" w:line="360" w:lineRule="auto"/>
        <w:ind w:firstLine="709"/>
        <w:jc w:val="both"/>
        <w:rPr>
          <w:rFonts w:ascii="Times New Roman" w:hAnsi="Times New Roman"/>
          <w:sz w:val="24"/>
          <w:szCs w:val="24"/>
        </w:rPr>
      </w:pPr>
      <w:r>
        <w:rPr>
          <w:rFonts w:ascii="Times New Roman" w:hAnsi="Times New Roman"/>
          <w:sz w:val="24"/>
          <w:szCs w:val="24"/>
        </w:rPr>
        <w:t>Por outro lado,</w:t>
      </w:r>
      <w:r w:rsidR="006A258C">
        <w:rPr>
          <w:rFonts w:ascii="Times New Roman" w:hAnsi="Times New Roman"/>
          <w:sz w:val="24"/>
          <w:szCs w:val="24"/>
        </w:rPr>
        <w:t xml:space="preserve"> Gomez </w:t>
      </w:r>
      <w:r w:rsidR="006A258C">
        <w:rPr>
          <w:rFonts w:ascii="Times New Roman" w:hAnsi="Times New Roman"/>
          <w:i/>
          <w:iCs/>
          <w:sz w:val="24"/>
          <w:szCs w:val="24"/>
        </w:rPr>
        <w:t>et al.</w:t>
      </w:r>
      <w:r w:rsidR="006A258C">
        <w:rPr>
          <w:rFonts w:ascii="Times New Roman" w:hAnsi="Times New Roman"/>
          <w:sz w:val="24"/>
          <w:szCs w:val="24"/>
        </w:rPr>
        <w:t xml:space="preserve"> (2021), relatam que vários médicos perceberam que a falta do exame físico pode resultar na perda de conexões pessoais, pois o exame físico e o toque são vistos como as principais interações entre médico-paciente. Kelly e Gormley (2020) complementam a ideia ao dizer que o toque conecta médicos e pacientes física e emocionalmente como seres humanos, formando um vínculo primordial.</w:t>
      </w:r>
    </w:p>
    <w:p w14:paraId="2F74E3D7" w14:textId="77777777" w:rsidR="00E64D34" w:rsidRDefault="006A258C">
      <w:pPr>
        <w:spacing w:after="0" w:line="360" w:lineRule="auto"/>
        <w:ind w:firstLine="709"/>
        <w:jc w:val="both"/>
        <w:rPr>
          <w:rFonts w:ascii="Times New Roman" w:hAnsi="Times New Roman"/>
          <w:sz w:val="24"/>
          <w:szCs w:val="24"/>
        </w:rPr>
      </w:pPr>
      <w:r>
        <w:rPr>
          <w:rFonts w:ascii="Times New Roman" w:hAnsi="Times New Roman"/>
          <w:sz w:val="24"/>
          <w:szCs w:val="24"/>
        </w:rPr>
        <w:t xml:space="preserve">A relação médico-paciente é um dos pilares da prática médica e essa interação é de suma importância para estabelecer vínculo e confiança entre as partes (MEDEIROS </w:t>
      </w:r>
      <w:r>
        <w:rPr>
          <w:rFonts w:ascii="Times New Roman" w:hAnsi="Times New Roman"/>
          <w:i/>
          <w:iCs/>
          <w:sz w:val="24"/>
          <w:szCs w:val="24"/>
        </w:rPr>
        <w:t>et al.</w:t>
      </w:r>
      <w:r>
        <w:rPr>
          <w:rFonts w:ascii="Times New Roman" w:hAnsi="Times New Roman"/>
          <w:sz w:val="24"/>
          <w:szCs w:val="24"/>
        </w:rPr>
        <w:t xml:space="preserve">, 2020 </w:t>
      </w:r>
      <w:r>
        <w:rPr>
          <w:rFonts w:ascii="Times New Roman" w:hAnsi="Times New Roman"/>
          <w:i/>
          <w:iCs/>
          <w:sz w:val="24"/>
          <w:szCs w:val="24"/>
        </w:rPr>
        <w:t xml:space="preserve">apud </w:t>
      </w:r>
      <w:r w:rsidRPr="00006484">
        <w:rPr>
          <w:rFonts w:ascii="Times New Roman" w:hAnsi="Times New Roman"/>
          <w:sz w:val="24"/>
          <w:szCs w:val="24"/>
        </w:rPr>
        <w:t>HINKLEY</w:t>
      </w:r>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2020; CHAET </w:t>
      </w:r>
      <w:r>
        <w:rPr>
          <w:rFonts w:ascii="Times New Roman" w:hAnsi="Times New Roman"/>
          <w:i/>
          <w:iCs/>
          <w:sz w:val="24"/>
          <w:szCs w:val="24"/>
        </w:rPr>
        <w:t>et al.</w:t>
      </w:r>
      <w:r>
        <w:rPr>
          <w:rFonts w:ascii="Times New Roman" w:hAnsi="Times New Roman"/>
          <w:sz w:val="24"/>
          <w:szCs w:val="24"/>
        </w:rPr>
        <w:t xml:space="preserve">, 2017). Nesse aspecto, Lee </w:t>
      </w:r>
      <w:r>
        <w:rPr>
          <w:rFonts w:ascii="Times New Roman" w:hAnsi="Times New Roman"/>
          <w:i/>
          <w:iCs/>
          <w:sz w:val="24"/>
          <w:szCs w:val="24"/>
        </w:rPr>
        <w:t>et al.</w:t>
      </w:r>
      <w:r>
        <w:rPr>
          <w:rFonts w:ascii="Times New Roman" w:hAnsi="Times New Roman"/>
          <w:sz w:val="24"/>
          <w:szCs w:val="24"/>
        </w:rPr>
        <w:t xml:space="preserve"> (2021) referem que os comportamentos não verbais são essenciais, no entanto, durante os atendimentos virtuais tanto o médico quanto o paciente se distanciam, fazendo com que essa identificação seja prejudicada.</w:t>
      </w:r>
    </w:p>
    <w:p w14:paraId="7992CF3C" w14:textId="52AC14E4" w:rsidR="00634F3C" w:rsidRDefault="006A258C" w:rsidP="00EF75FE">
      <w:pPr>
        <w:spacing w:line="360" w:lineRule="auto"/>
        <w:jc w:val="both"/>
        <w:rPr>
          <w:rFonts w:ascii="Times New Roman" w:hAnsi="Times New Roman"/>
          <w:sz w:val="24"/>
          <w:szCs w:val="24"/>
        </w:rPr>
      </w:pPr>
      <w:r>
        <w:rPr>
          <w:rFonts w:ascii="Times New Roman" w:hAnsi="Times New Roman"/>
          <w:sz w:val="24"/>
          <w:szCs w:val="24"/>
        </w:rPr>
        <w:tab/>
        <w:t xml:space="preserve">Em contrapartida, Gomez </w:t>
      </w:r>
      <w:r>
        <w:rPr>
          <w:rFonts w:ascii="Times New Roman" w:hAnsi="Times New Roman"/>
          <w:i/>
          <w:sz w:val="24"/>
          <w:szCs w:val="24"/>
        </w:rPr>
        <w:t xml:space="preserve">et al. </w:t>
      </w:r>
      <w:r>
        <w:rPr>
          <w:rFonts w:ascii="Times New Roman" w:hAnsi="Times New Roman"/>
          <w:sz w:val="24"/>
          <w:szCs w:val="24"/>
        </w:rPr>
        <w:t>(2021) afirmam que para os médicos a telemedicina aumenta o acesso do paciente à saúde e diminui a taxa de não comparecimento, pois o indivíduo não precisa se deslocar. Além disso, os profissionais conseguem conversar com os membros da família e analisar o ambiente em que eles residem, o que permite avaliar os potenciais riscos à segurança, além de entender o sistema de apoio doméstico do paciente. Aplicada aos pacientes críticos, a telemedicina reduz o tempo de permanência na UTI, aumentando a disponibilidade de leitos, e reduz a mortalidade hospitalar (ROCHA DE MACEDO, 2021).</w:t>
      </w:r>
    </w:p>
    <w:p w14:paraId="1650FF24" w14:textId="5EDB5BD8" w:rsidR="00E64D34" w:rsidRPr="00EF75FE" w:rsidRDefault="006A258C" w:rsidP="00EF75FE">
      <w:pPr>
        <w:spacing w:line="360" w:lineRule="auto"/>
        <w:jc w:val="both"/>
        <w:rPr>
          <w:rFonts w:ascii="Times New Roman" w:hAnsi="Times New Roman"/>
          <w:sz w:val="24"/>
          <w:szCs w:val="24"/>
        </w:rPr>
      </w:pPr>
      <w:r>
        <w:rPr>
          <w:rFonts w:ascii="Times New Roman" w:hAnsi="Times New Roman"/>
          <w:b/>
          <w:color w:val="1F3864"/>
          <w:sz w:val="28"/>
          <w:szCs w:val="28"/>
        </w:rPr>
        <w:t>4. CONCLUSÃO</w:t>
      </w:r>
    </w:p>
    <w:p w14:paraId="34B835E5" w14:textId="46C282E6" w:rsidR="009E3466" w:rsidRDefault="00DB332D" w:rsidP="00EF75FE">
      <w:pPr>
        <w:tabs>
          <w:tab w:val="left" w:pos="420"/>
        </w:tabs>
        <w:spacing w:line="360" w:lineRule="auto"/>
        <w:jc w:val="both"/>
        <w:rPr>
          <w:rFonts w:ascii="Times New Roman" w:hAnsi="Times New Roman"/>
          <w:sz w:val="24"/>
          <w:szCs w:val="24"/>
        </w:rPr>
      </w:pPr>
      <w:r>
        <w:rPr>
          <w:rFonts w:ascii="Times New Roman" w:hAnsi="Times New Roman"/>
          <w:sz w:val="24"/>
          <w:szCs w:val="24"/>
        </w:rPr>
        <w:tab/>
        <w:t xml:space="preserve">A partir dos artigos analisados fica evidente que a telemedicina é um tema </w:t>
      </w:r>
      <w:r w:rsidRPr="00DB332D">
        <w:rPr>
          <w:rFonts w:ascii="Times New Roman" w:hAnsi="Times New Roman"/>
          <w:sz w:val="24"/>
          <w:szCs w:val="24"/>
        </w:rPr>
        <w:t>novo e ainda contraditório,</w:t>
      </w:r>
      <w:r>
        <w:rPr>
          <w:rFonts w:ascii="Times New Roman" w:hAnsi="Times New Roman"/>
          <w:sz w:val="24"/>
          <w:szCs w:val="24"/>
        </w:rPr>
        <w:t xml:space="preserve"> de tal maneira que exige</w:t>
      </w:r>
      <w:r w:rsidRPr="00DB332D">
        <w:rPr>
          <w:rFonts w:ascii="Times New Roman" w:hAnsi="Times New Roman"/>
          <w:sz w:val="24"/>
          <w:szCs w:val="24"/>
        </w:rPr>
        <w:t xml:space="preserve"> do médico </w:t>
      </w:r>
      <w:r>
        <w:rPr>
          <w:rFonts w:ascii="Times New Roman" w:hAnsi="Times New Roman"/>
          <w:sz w:val="24"/>
          <w:szCs w:val="24"/>
        </w:rPr>
        <w:t xml:space="preserve">uma nova forma </w:t>
      </w:r>
      <w:r w:rsidRPr="00DB332D">
        <w:rPr>
          <w:rFonts w:ascii="Times New Roman" w:hAnsi="Times New Roman"/>
          <w:sz w:val="24"/>
          <w:szCs w:val="24"/>
        </w:rPr>
        <w:t>de se relacionar com seu paciente</w:t>
      </w:r>
      <w:r>
        <w:rPr>
          <w:rFonts w:ascii="Times New Roman" w:hAnsi="Times New Roman"/>
          <w:sz w:val="24"/>
          <w:szCs w:val="24"/>
        </w:rPr>
        <w:t>.</w:t>
      </w:r>
      <w:r w:rsidR="00991F98">
        <w:rPr>
          <w:rFonts w:ascii="Times New Roman" w:hAnsi="Times New Roman"/>
          <w:sz w:val="24"/>
          <w:szCs w:val="24"/>
        </w:rPr>
        <w:t xml:space="preserve"> </w:t>
      </w:r>
      <w:r w:rsidR="009E3466">
        <w:rPr>
          <w:rFonts w:ascii="Times New Roman" w:hAnsi="Times New Roman"/>
          <w:sz w:val="24"/>
          <w:szCs w:val="24"/>
        </w:rPr>
        <w:t xml:space="preserve">É importante ressaltar que esse serviço apresenta algumas </w:t>
      </w:r>
      <w:r w:rsidR="006A258C" w:rsidRPr="00DB332D">
        <w:rPr>
          <w:rFonts w:ascii="Times New Roman" w:hAnsi="Times New Roman"/>
          <w:sz w:val="24"/>
          <w:szCs w:val="24"/>
        </w:rPr>
        <w:t xml:space="preserve">potencialidades, como a interação </w:t>
      </w:r>
      <w:r w:rsidR="009E3466">
        <w:rPr>
          <w:rFonts w:ascii="Times New Roman" w:hAnsi="Times New Roman"/>
          <w:sz w:val="24"/>
          <w:szCs w:val="24"/>
        </w:rPr>
        <w:t>do profissional com o paciente e</w:t>
      </w:r>
      <w:r w:rsidR="006A258C" w:rsidRPr="00DB332D">
        <w:rPr>
          <w:rFonts w:ascii="Times New Roman" w:hAnsi="Times New Roman"/>
          <w:sz w:val="24"/>
          <w:szCs w:val="24"/>
        </w:rPr>
        <w:t xml:space="preserve"> sua família</w:t>
      </w:r>
      <w:r w:rsidR="009E3466">
        <w:rPr>
          <w:rFonts w:ascii="Times New Roman" w:hAnsi="Times New Roman"/>
          <w:sz w:val="24"/>
          <w:szCs w:val="24"/>
        </w:rPr>
        <w:t>, além de possibilitar</w:t>
      </w:r>
      <w:r w:rsidR="006A258C" w:rsidRPr="00DB332D">
        <w:rPr>
          <w:rFonts w:ascii="Times New Roman" w:hAnsi="Times New Roman"/>
          <w:sz w:val="24"/>
          <w:szCs w:val="24"/>
        </w:rPr>
        <w:t xml:space="preserve"> o acesso</w:t>
      </w:r>
      <w:r w:rsidR="009E3466">
        <w:rPr>
          <w:rFonts w:ascii="Times New Roman" w:hAnsi="Times New Roman"/>
          <w:sz w:val="24"/>
          <w:szCs w:val="24"/>
        </w:rPr>
        <w:t>,</w:t>
      </w:r>
      <w:r w:rsidR="006A258C" w:rsidRPr="00DB332D">
        <w:rPr>
          <w:rFonts w:ascii="Times New Roman" w:hAnsi="Times New Roman"/>
          <w:sz w:val="24"/>
          <w:szCs w:val="24"/>
        </w:rPr>
        <w:t xml:space="preserve"> ainda que virtual</w:t>
      </w:r>
      <w:r w:rsidR="009E3466">
        <w:rPr>
          <w:rFonts w:ascii="Times New Roman" w:hAnsi="Times New Roman"/>
          <w:sz w:val="24"/>
          <w:szCs w:val="24"/>
        </w:rPr>
        <w:t>,</w:t>
      </w:r>
      <w:r w:rsidR="006A258C" w:rsidRPr="00DB332D">
        <w:rPr>
          <w:rFonts w:ascii="Times New Roman" w:hAnsi="Times New Roman"/>
          <w:sz w:val="24"/>
          <w:szCs w:val="24"/>
        </w:rPr>
        <w:t xml:space="preserve"> </w:t>
      </w:r>
      <w:r w:rsidR="009E3466">
        <w:rPr>
          <w:rFonts w:ascii="Times New Roman" w:hAnsi="Times New Roman"/>
          <w:sz w:val="24"/>
          <w:szCs w:val="24"/>
        </w:rPr>
        <w:t xml:space="preserve">ao seu ambiente de vida. Entretanto, a telemedicina apresenta uma limitação relevante </w:t>
      </w:r>
      <w:r w:rsidR="006A258C" w:rsidRPr="00DB332D">
        <w:rPr>
          <w:rFonts w:ascii="Times New Roman" w:hAnsi="Times New Roman"/>
          <w:sz w:val="24"/>
          <w:szCs w:val="24"/>
        </w:rPr>
        <w:t xml:space="preserve">em relação ao exame físico, </w:t>
      </w:r>
      <w:r w:rsidR="009E3466">
        <w:rPr>
          <w:rFonts w:ascii="Times New Roman" w:hAnsi="Times New Roman"/>
          <w:sz w:val="24"/>
          <w:szCs w:val="24"/>
        </w:rPr>
        <w:t>com exceção da</w:t>
      </w:r>
      <w:r w:rsidR="006A258C" w:rsidRPr="00DB332D">
        <w:rPr>
          <w:rFonts w:ascii="Times New Roman" w:hAnsi="Times New Roman"/>
          <w:sz w:val="24"/>
          <w:szCs w:val="24"/>
        </w:rPr>
        <w:t xml:space="preserve"> ectoscopia e </w:t>
      </w:r>
      <w:r w:rsidR="009E3466">
        <w:rPr>
          <w:rFonts w:ascii="Times New Roman" w:hAnsi="Times New Roman"/>
          <w:sz w:val="24"/>
          <w:szCs w:val="24"/>
        </w:rPr>
        <w:t>d</w:t>
      </w:r>
      <w:r w:rsidR="006A258C" w:rsidRPr="00DB332D">
        <w:rPr>
          <w:rFonts w:ascii="Times New Roman" w:hAnsi="Times New Roman"/>
          <w:sz w:val="24"/>
          <w:szCs w:val="24"/>
        </w:rPr>
        <w:t xml:space="preserve">o exame visual, embora essa </w:t>
      </w:r>
      <w:r w:rsidR="009E3466">
        <w:rPr>
          <w:rFonts w:ascii="Times New Roman" w:hAnsi="Times New Roman"/>
          <w:sz w:val="24"/>
          <w:szCs w:val="24"/>
        </w:rPr>
        <w:t>barreira</w:t>
      </w:r>
      <w:r w:rsidR="006A258C" w:rsidRPr="00DB332D">
        <w:rPr>
          <w:rFonts w:ascii="Times New Roman" w:hAnsi="Times New Roman"/>
          <w:sz w:val="24"/>
          <w:szCs w:val="24"/>
        </w:rPr>
        <w:t xml:space="preserve"> possa ser em pouco tempo superada</w:t>
      </w:r>
      <w:r w:rsidR="009E3466">
        <w:rPr>
          <w:rFonts w:ascii="Times New Roman" w:hAnsi="Times New Roman"/>
          <w:sz w:val="24"/>
          <w:szCs w:val="24"/>
        </w:rPr>
        <w:t>.</w:t>
      </w:r>
      <w:r w:rsidR="006A258C" w:rsidRPr="00DB332D">
        <w:rPr>
          <w:rFonts w:ascii="Times New Roman" w:hAnsi="Times New Roman"/>
          <w:sz w:val="24"/>
          <w:szCs w:val="24"/>
        </w:rPr>
        <w:t xml:space="preserve"> </w:t>
      </w:r>
    </w:p>
    <w:p w14:paraId="19F861D8" w14:textId="77777777" w:rsidR="00E64D34" w:rsidRPr="00125606" w:rsidRDefault="009E3466" w:rsidP="00EF75FE">
      <w:pPr>
        <w:tabs>
          <w:tab w:val="left" w:pos="420"/>
        </w:tabs>
        <w:spacing w:line="360" w:lineRule="auto"/>
        <w:jc w:val="both"/>
        <w:rPr>
          <w:rFonts w:ascii="Times New Roman" w:hAnsi="Times New Roman"/>
          <w:sz w:val="24"/>
          <w:szCs w:val="24"/>
        </w:rPr>
      </w:pPr>
      <w:r>
        <w:rPr>
          <w:rFonts w:ascii="Times New Roman" w:hAnsi="Times New Roman"/>
          <w:sz w:val="24"/>
          <w:szCs w:val="24"/>
        </w:rPr>
        <w:lastRenderedPageBreak/>
        <w:tab/>
      </w:r>
      <w:r w:rsidR="006A258C" w:rsidRPr="00DB332D">
        <w:rPr>
          <w:rFonts w:ascii="Times New Roman" w:hAnsi="Times New Roman"/>
          <w:sz w:val="24"/>
          <w:szCs w:val="24"/>
        </w:rPr>
        <w:t>Estamos</w:t>
      </w:r>
      <w:r>
        <w:rPr>
          <w:rFonts w:ascii="Times New Roman" w:hAnsi="Times New Roman"/>
          <w:sz w:val="24"/>
          <w:szCs w:val="24"/>
        </w:rPr>
        <w:t>, portanto, diante de um novo horizonte da</w:t>
      </w:r>
      <w:r w:rsidR="006A258C" w:rsidRPr="00DB332D">
        <w:rPr>
          <w:rFonts w:ascii="Times New Roman" w:hAnsi="Times New Roman"/>
          <w:sz w:val="24"/>
          <w:szCs w:val="24"/>
        </w:rPr>
        <w:t xml:space="preserve"> prática médica com implicações éticas, profissionais e econômicas, com um</w:t>
      </w:r>
      <w:r>
        <w:rPr>
          <w:rFonts w:ascii="Times New Roman" w:hAnsi="Times New Roman"/>
          <w:sz w:val="24"/>
          <w:szCs w:val="24"/>
        </w:rPr>
        <w:t xml:space="preserve"> grande</w:t>
      </w:r>
      <w:r w:rsidR="006A258C" w:rsidRPr="00DB332D">
        <w:rPr>
          <w:rFonts w:ascii="Times New Roman" w:hAnsi="Times New Roman"/>
          <w:sz w:val="24"/>
          <w:szCs w:val="24"/>
        </w:rPr>
        <w:t xml:space="preserve"> potencial de ampliar o acesso aos serviços de saúde, criar um novo e aquecido mercado que poderá se valer do crescimento de tudo aquilo que decorre da internet.</w:t>
      </w:r>
    </w:p>
    <w:p w14:paraId="4E330606" w14:textId="4BB9C501" w:rsidR="00E64D34" w:rsidRPr="00AF118D" w:rsidRDefault="006A258C" w:rsidP="00AF118D">
      <w:pPr>
        <w:rPr>
          <w:rFonts w:ascii="Times New Roman" w:hAnsi="Times New Roman"/>
          <w:b/>
          <w:color w:val="1F3864"/>
          <w:sz w:val="28"/>
          <w:szCs w:val="28"/>
        </w:rPr>
      </w:pPr>
      <w:r>
        <w:rPr>
          <w:rFonts w:ascii="Times New Roman" w:hAnsi="Times New Roman"/>
          <w:b/>
          <w:color w:val="1F3864"/>
          <w:sz w:val="28"/>
          <w:szCs w:val="28"/>
        </w:rPr>
        <w:t>5. REFERÊNCIAS</w:t>
      </w:r>
    </w:p>
    <w:p w14:paraId="2A0D2046" w14:textId="06DD6FBC" w:rsidR="00991F98" w:rsidRPr="00991F98" w:rsidRDefault="00AF118D" w:rsidP="005A6FFC">
      <w:pPr>
        <w:widowControl w:val="0"/>
        <w:autoSpaceDE w:val="0"/>
        <w:autoSpaceDN w:val="0"/>
        <w:adjustRightInd w:val="0"/>
        <w:spacing w:after="0" w:line="276" w:lineRule="auto"/>
        <w:jc w:val="both"/>
        <w:rPr>
          <w:rFonts w:ascii="Times New Roman" w:hAnsi="Times New Roman"/>
          <w:noProof/>
          <w:sz w:val="20"/>
          <w:szCs w:val="20"/>
        </w:rPr>
      </w:pPr>
      <w:r w:rsidRPr="00991F98">
        <w:rPr>
          <w:rFonts w:ascii="Times New Roman" w:hAnsi="Times New Roman"/>
          <w:sz w:val="20"/>
          <w:szCs w:val="20"/>
        </w:rPr>
        <w:fldChar w:fldCharType="begin" w:fldLock="1"/>
      </w:r>
      <w:r w:rsidRPr="00991F98">
        <w:rPr>
          <w:rFonts w:ascii="Times New Roman" w:hAnsi="Times New Roman"/>
          <w:sz w:val="20"/>
          <w:szCs w:val="20"/>
        </w:rPr>
        <w:instrText xml:space="preserve">ADDIN Mendeley Bibliography CSL_BIBLIOGRAPHY </w:instrText>
      </w:r>
      <w:r w:rsidRPr="00991F98">
        <w:rPr>
          <w:rFonts w:ascii="Times New Roman" w:hAnsi="Times New Roman"/>
          <w:sz w:val="20"/>
          <w:szCs w:val="20"/>
        </w:rPr>
        <w:fldChar w:fldCharType="separate"/>
      </w:r>
      <w:r w:rsidRPr="00991F98">
        <w:rPr>
          <w:rFonts w:ascii="Times New Roman" w:hAnsi="Times New Roman"/>
          <w:noProof/>
          <w:sz w:val="20"/>
          <w:szCs w:val="20"/>
        </w:rPr>
        <w:t>BOS, W.H.</w:t>
      </w:r>
      <w:r w:rsidR="00991F98">
        <w:rPr>
          <w:rFonts w:ascii="Times New Roman" w:hAnsi="Times New Roman"/>
          <w:noProof/>
          <w:sz w:val="20"/>
          <w:szCs w:val="20"/>
        </w:rPr>
        <w:t xml:space="preserve"> </w:t>
      </w:r>
      <w:r w:rsidR="00991F98" w:rsidRPr="00991F98">
        <w:rPr>
          <w:rFonts w:ascii="Times New Roman" w:hAnsi="Times New Roman"/>
          <w:i/>
          <w:iCs/>
          <w:noProof/>
          <w:sz w:val="20"/>
          <w:szCs w:val="20"/>
        </w:rPr>
        <w:t>et al</w:t>
      </w:r>
      <w:r w:rsidRPr="00991F98">
        <w:rPr>
          <w:rFonts w:ascii="Times New Roman" w:hAnsi="Times New Roman"/>
          <w:i/>
          <w:iCs/>
          <w:noProof/>
          <w:sz w:val="20"/>
          <w:szCs w:val="20"/>
        </w:rPr>
        <w:t>.</w:t>
      </w:r>
      <w:r w:rsidRPr="00991F98">
        <w:rPr>
          <w:rFonts w:ascii="Times New Roman" w:hAnsi="Times New Roman"/>
          <w:noProof/>
          <w:sz w:val="20"/>
          <w:szCs w:val="20"/>
        </w:rPr>
        <w:t xml:space="preserve"> Telemedicine for patients with rheumatic and musculoskeletal diseases during the COVID-19 pandemic; a positive experience in the Netherlands. Rheumatology International, v. 41, n. 3, p. 565–573, 2021. </w:t>
      </w:r>
    </w:p>
    <w:p w14:paraId="2A1B92D8" w14:textId="78142C07" w:rsidR="00991F98" w:rsidRPr="00991F98" w:rsidRDefault="00D57893" w:rsidP="005A6FFC">
      <w:pPr>
        <w:widowControl w:val="0"/>
        <w:autoSpaceDE w:val="0"/>
        <w:autoSpaceDN w:val="0"/>
        <w:adjustRightInd w:val="0"/>
        <w:spacing w:after="0" w:line="276" w:lineRule="auto"/>
        <w:jc w:val="both"/>
        <w:rPr>
          <w:rFonts w:ascii="Times New Roman" w:hAnsi="Times New Roman"/>
          <w:noProof/>
          <w:sz w:val="20"/>
          <w:szCs w:val="20"/>
        </w:rPr>
      </w:pPr>
      <w:r w:rsidRPr="00991F98">
        <w:rPr>
          <w:rFonts w:ascii="Times New Roman" w:hAnsi="Times New Roman"/>
          <w:noProof/>
          <w:sz w:val="20"/>
          <w:szCs w:val="20"/>
        </w:rPr>
        <w:t xml:space="preserve">CFM. </w:t>
      </w:r>
      <w:r w:rsidR="00AF118D" w:rsidRPr="00991F98">
        <w:rPr>
          <w:rFonts w:ascii="Times New Roman" w:hAnsi="Times New Roman"/>
          <w:noProof/>
          <w:sz w:val="20"/>
          <w:szCs w:val="20"/>
        </w:rPr>
        <w:t xml:space="preserve">CFM publicará nova resolução para regulamentar telemedicina. </w:t>
      </w:r>
      <w:r w:rsidRPr="00991F98">
        <w:rPr>
          <w:rFonts w:ascii="Times New Roman" w:hAnsi="Times New Roman"/>
          <w:noProof/>
          <w:sz w:val="20"/>
          <w:szCs w:val="20"/>
        </w:rPr>
        <w:t xml:space="preserve">Portal CFM, 2020. </w:t>
      </w:r>
      <w:r w:rsidR="00AF118D" w:rsidRPr="00991F98">
        <w:rPr>
          <w:rFonts w:ascii="Times New Roman" w:hAnsi="Times New Roman"/>
          <w:noProof/>
          <w:sz w:val="20"/>
          <w:szCs w:val="20"/>
        </w:rPr>
        <w:t xml:space="preserve">Disponível em: &lt;https://portal.cfm.org.br/noticias/cfm-publicara-nova-resolucao-para-regulamentar-telemedicina/&gt;. Acesso em: 18 mai 2021. </w:t>
      </w:r>
    </w:p>
    <w:p w14:paraId="093FE2A2" w14:textId="38E9F33E" w:rsidR="00991F98" w:rsidRPr="00991F98" w:rsidRDefault="00D57893" w:rsidP="005A6FFC">
      <w:pPr>
        <w:widowControl w:val="0"/>
        <w:autoSpaceDE w:val="0"/>
        <w:autoSpaceDN w:val="0"/>
        <w:adjustRightInd w:val="0"/>
        <w:spacing w:after="0" w:line="276" w:lineRule="auto"/>
        <w:jc w:val="both"/>
        <w:rPr>
          <w:rFonts w:ascii="Times New Roman" w:hAnsi="Times New Roman"/>
          <w:noProof/>
          <w:sz w:val="20"/>
          <w:szCs w:val="20"/>
        </w:rPr>
      </w:pPr>
      <w:r w:rsidRPr="00991F98">
        <w:rPr>
          <w:rFonts w:ascii="Times New Roman" w:hAnsi="Times New Roman"/>
          <w:noProof/>
          <w:sz w:val="20"/>
          <w:szCs w:val="20"/>
        </w:rPr>
        <w:t xml:space="preserve">CONSELHO FEDERAL DE MEDICINA. Resolução nº 1.643/2002. Define a disciplina e a prestação de serviços através da Telemedicina. Brasília: Diário Oficial da União, 2002. Disponível em: https://abmes.org.br/arquivos/legislacoes/Resolucao-CFM-1643-2002-08-07.pdf Acesso em: 07 jun 2021. </w:t>
      </w:r>
    </w:p>
    <w:p w14:paraId="00D19EBE" w14:textId="02255E2E" w:rsidR="00991F98" w:rsidRPr="00991F98" w:rsidRDefault="00EF75FE" w:rsidP="005A6FFC">
      <w:pPr>
        <w:widowControl w:val="0"/>
        <w:autoSpaceDE w:val="0"/>
        <w:autoSpaceDN w:val="0"/>
        <w:adjustRightInd w:val="0"/>
        <w:spacing w:after="0" w:line="276" w:lineRule="auto"/>
        <w:jc w:val="both"/>
        <w:rPr>
          <w:rFonts w:ascii="Times New Roman" w:hAnsi="Times New Roman"/>
          <w:noProof/>
          <w:sz w:val="20"/>
          <w:szCs w:val="20"/>
        </w:rPr>
      </w:pPr>
      <w:r w:rsidRPr="00991F98">
        <w:rPr>
          <w:rFonts w:ascii="Times New Roman" w:hAnsi="Times New Roman"/>
          <w:noProof/>
          <w:sz w:val="20"/>
          <w:szCs w:val="20"/>
        </w:rPr>
        <w:t>CONSELHO FEDERAL DE MEDICINA. Resolução nº 2.227/2018. Define e disciplina a telemedicina como forma de prestação de serviços médicos mediados por tecnologias. Brasília: Diário Oficial da União, 2018. Disponível em:  https://abmes.org.br/legislacoes/detalhe/2694/resolucao-cfm-n-2.227 Acesso em: 07 jun 2021.</w:t>
      </w:r>
    </w:p>
    <w:p w14:paraId="5CCF9612" w14:textId="6E9AB737" w:rsidR="00991F98" w:rsidRPr="00991F98" w:rsidRDefault="00D57893" w:rsidP="005A6FFC">
      <w:pPr>
        <w:widowControl w:val="0"/>
        <w:autoSpaceDE w:val="0"/>
        <w:autoSpaceDN w:val="0"/>
        <w:adjustRightInd w:val="0"/>
        <w:spacing w:after="0" w:line="276" w:lineRule="auto"/>
        <w:jc w:val="both"/>
        <w:rPr>
          <w:rFonts w:ascii="Times New Roman" w:hAnsi="Times New Roman"/>
          <w:noProof/>
          <w:sz w:val="20"/>
          <w:szCs w:val="20"/>
        </w:rPr>
      </w:pPr>
      <w:r w:rsidRPr="00991F98">
        <w:rPr>
          <w:rFonts w:ascii="Times New Roman" w:hAnsi="Times New Roman"/>
          <w:noProof/>
          <w:sz w:val="20"/>
          <w:szCs w:val="20"/>
        </w:rPr>
        <w:t xml:space="preserve">CONSELHO FEDERAL DE MEDICINA. Resolução nº 2.228/2019. Revoga a Resolução CFM nº 2.227 e restabelece a vigência da Resolução CFM nº 1.643/2002. Brasília: Diário Oficial da União, 2019. Disponível em: </w:t>
      </w:r>
      <w:r w:rsidR="00EF75FE" w:rsidRPr="00991F98">
        <w:rPr>
          <w:rFonts w:ascii="Times New Roman" w:hAnsi="Times New Roman"/>
          <w:noProof/>
          <w:sz w:val="20"/>
          <w:szCs w:val="20"/>
        </w:rPr>
        <w:t>https://portal.cfm.org.br/images/PDF/resolucao222718.pdf</w:t>
      </w:r>
      <w:r w:rsidRPr="00991F98">
        <w:rPr>
          <w:rFonts w:ascii="Times New Roman" w:hAnsi="Times New Roman"/>
          <w:noProof/>
          <w:sz w:val="20"/>
          <w:szCs w:val="20"/>
        </w:rPr>
        <w:t xml:space="preserve"> Acesso em:</w:t>
      </w:r>
      <w:r w:rsidR="00EF75FE" w:rsidRPr="00991F98">
        <w:rPr>
          <w:rFonts w:ascii="Times New Roman" w:hAnsi="Times New Roman"/>
          <w:noProof/>
          <w:sz w:val="20"/>
          <w:szCs w:val="20"/>
        </w:rPr>
        <w:t xml:space="preserve"> 07  jun  2021. </w:t>
      </w:r>
    </w:p>
    <w:p w14:paraId="4A3F53A0" w14:textId="4073B524" w:rsidR="00991F98" w:rsidRPr="00991F98" w:rsidRDefault="00AF118D" w:rsidP="005A6FFC">
      <w:pPr>
        <w:widowControl w:val="0"/>
        <w:autoSpaceDE w:val="0"/>
        <w:autoSpaceDN w:val="0"/>
        <w:adjustRightInd w:val="0"/>
        <w:spacing w:after="0" w:line="276" w:lineRule="auto"/>
        <w:jc w:val="both"/>
        <w:rPr>
          <w:rFonts w:ascii="Times New Roman" w:hAnsi="Times New Roman"/>
          <w:noProof/>
          <w:sz w:val="20"/>
          <w:szCs w:val="20"/>
        </w:rPr>
      </w:pPr>
      <w:r w:rsidRPr="00991F98">
        <w:rPr>
          <w:rFonts w:ascii="Times New Roman" w:hAnsi="Times New Roman"/>
          <w:noProof/>
          <w:sz w:val="20"/>
          <w:szCs w:val="20"/>
        </w:rPr>
        <w:t xml:space="preserve">DI TRANA, A. </w:t>
      </w:r>
      <w:r w:rsidRPr="00991F98">
        <w:rPr>
          <w:rFonts w:ascii="Times New Roman" w:hAnsi="Times New Roman"/>
          <w:i/>
          <w:iCs/>
          <w:noProof/>
          <w:sz w:val="20"/>
          <w:szCs w:val="20"/>
        </w:rPr>
        <w:t>et al.</w:t>
      </w:r>
      <w:r w:rsidRPr="00991F98">
        <w:rPr>
          <w:rFonts w:ascii="Times New Roman" w:hAnsi="Times New Roman"/>
          <w:noProof/>
          <w:sz w:val="20"/>
          <w:szCs w:val="20"/>
        </w:rPr>
        <w:t xml:space="preserve"> Commentary: Tele-COVID-19: does it improve the provision of health services? Review for Medical and Pharmacological Sciences, v. 25, p. 2152–2153, 2020. </w:t>
      </w:r>
    </w:p>
    <w:p w14:paraId="68C3DD50" w14:textId="31F8EFBC" w:rsidR="00991F98" w:rsidRPr="00991F98" w:rsidRDefault="00AF118D" w:rsidP="005A6FFC">
      <w:pPr>
        <w:widowControl w:val="0"/>
        <w:autoSpaceDE w:val="0"/>
        <w:autoSpaceDN w:val="0"/>
        <w:adjustRightInd w:val="0"/>
        <w:spacing w:after="0" w:line="276" w:lineRule="auto"/>
        <w:jc w:val="both"/>
        <w:rPr>
          <w:rFonts w:ascii="Times New Roman" w:hAnsi="Times New Roman"/>
          <w:noProof/>
          <w:sz w:val="20"/>
          <w:szCs w:val="20"/>
        </w:rPr>
      </w:pPr>
      <w:r w:rsidRPr="00991F98">
        <w:rPr>
          <w:rFonts w:ascii="Times New Roman" w:hAnsi="Times New Roman"/>
          <w:noProof/>
          <w:sz w:val="20"/>
          <w:szCs w:val="20"/>
        </w:rPr>
        <w:t xml:space="preserve">FLODGREN, G. </w:t>
      </w:r>
      <w:r w:rsidRPr="00991F98">
        <w:rPr>
          <w:rFonts w:ascii="Times New Roman" w:hAnsi="Times New Roman"/>
          <w:i/>
          <w:iCs/>
          <w:noProof/>
          <w:sz w:val="20"/>
          <w:szCs w:val="20"/>
        </w:rPr>
        <w:t>et al.</w:t>
      </w:r>
      <w:r w:rsidRPr="00991F98">
        <w:rPr>
          <w:rFonts w:ascii="Times New Roman" w:hAnsi="Times New Roman"/>
          <w:noProof/>
          <w:sz w:val="20"/>
          <w:szCs w:val="20"/>
        </w:rPr>
        <w:t xml:space="preserve"> Interactive telemedicine: Effects on professional practice and health care outcomes. Cochrane Database of Systematic Reviews. John Wiley and Sons Ltd.,</w:t>
      </w:r>
      <w:r w:rsidR="006321C9" w:rsidRPr="00991F98">
        <w:rPr>
          <w:rFonts w:ascii="Times New Roman" w:hAnsi="Times New Roman"/>
          <w:noProof/>
          <w:sz w:val="20"/>
          <w:szCs w:val="20"/>
        </w:rPr>
        <w:t xml:space="preserve"> </w:t>
      </w:r>
      <w:r w:rsidRPr="00991F98">
        <w:rPr>
          <w:rFonts w:ascii="Times New Roman" w:hAnsi="Times New Roman"/>
          <w:noProof/>
          <w:sz w:val="20"/>
          <w:szCs w:val="20"/>
        </w:rPr>
        <w:t>2015</w:t>
      </w:r>
      <w:r w:rsidR="00991F98">
        <w:rPr>
          <w:rFonts w:ascii="Times New Roman" w:hAnsi="Times New Roman"/>
          <w:noProof/>
          <w:sz w:val="20"/>
          <w:szCs w:val="20"/>
        </w:rPr>
        <w:t>.</w:t>
      </w:r>
    </w:p>
    <w:p w14:paraId="656B8A3D" w14:textId="3611C7FA" w:rsidR="00991F98" w:rsidRPr="00991F98" w:rsidRDefault="00AF118D" w:rsidP="005A6FFC">
      <w:pPr>
        <w:widowControl w:val="0"/>
        <w:autoSpaceDE w:val="0"/>
        <w:autoSpaceDN w:val="0"/>
        <w:adjustRightInd w:val="0"/>
        <w:spacing w:after="0" w:line="276" w:lineRule="auto"/>
        <w:jc w:val="both"/>
        <w:rPr>
          <w:rFonts w:ascii="Times New Roman" w:hAnsi="Times New Roman"/>
          <w:noProof/>
          <w:sz w:val="20"/>
          <w:szCs w:val="20"/>
        </w:rPr>
      </w:pPr>
      <w:r w:rsidRPr="00991F98">
        <w:rPr>
          <w:rFonts w:ascii="Times New Roman" w:hAnsi="Times New Roman"/>
          <w:noProof/>
          <w:sz w:val="20"/>
          <w:szCs w:val="20"/>
        </w:rPr>
        <w:t xml:space="preserve">GOMEZ, T. </w:t>
      </w:r>
      <w:r w:rsidRPr="00991F98">
        <w:rPr>
          <w:rFonts w:ascii="Times New Roman" w:hAnsi="Times New Roman"/>
          <w:i/>
          <w:iCs/>
          <w:noProof/>
          <w:sz w:val="20"/>
          <w:szCs w:val="20"/>
        </w:rPr>
        <w:t>et al.</w:t>
      </w:r>
      <w:r w:rsidRPr="00991F98">
        <w:rPr>
          <w:rFonts w:ascii="Times New Roman" w:hAnsi="Times New Roman"/>
          <w:noProof/>
          <w:sz w:val="20"/>
          <w:szCs w:val="20"/>
        </w:rPr>
        <w:t xml:space="preserve"> A Qualitative Study of Primary Care Physicians’ Experiences with Telemedicine during COVID-19. Journal of the American Board of Family Medicine, v. 34, p. S61–S70, 2021.</w:t>
      </w:r>
    </w:p>
    <w:p w14:paraId="34C71260" w14:textId="6331A300" w:rsidR="00991F98" w:rsidRPr="00991F98" w:rsidRDefault="00AF118D" w:rsidP="005A6FFC">
      <w:pPr>
        <w:widowControl w:val="0"/>
        <w:autoSpaceDE w:val="0"/>
        <w:autoSpaceDN w:val="0"/>
        <w:adjustRightInd w:val="0"/>
        <w:spacing w:after="0" w:line="276" w:lineRule="auto"/>
        <w:jc w:val="both"/>
        <w:rPr>
          <w:rFonts w:ascii="Times New Roman" w:hAnsi="Times New Roman"/>
          <w:noProof/>
          <w:sz w:val="20"/>
          <w:szCs w:val="20"/>
        </w:rPr>
      </w:pPr>
      <w:r w:rsidRPr="00991F98">
        <w:rPr>
          <w:rFonts w:ascii="Times New Roman" w:hAnsi="Times New Roman"/>
          <w:noProof/>
          <w:sz w:val="20"/>
          <w:szCs w:val="20"/>
        </w:rPr>
        <w:t xml:space="preserve">HAMMERSLEY, V. </w:t>
      </w:r>
      <w:r w:rsidRPr="00991F98">
        <w:rPr>
          <w:rFonts w:ascii="Times New Roman" w:hAnsi="Times New Roman"/>
          <w:i/>
          <w:iCs/>
          <w:noProof/>
          <w:sz w:val="20"/>
          <w:szCs w:val="20"/>
        </w:rPr>
        <w:t>et al.</w:t>
      </w:r>
      <w:r w:rsidRPr="00991F98">
        <w:rPr>
          <w:rFonts w:ascii="Times New Roman" w:hAnsi="Times New Roman"/>
          <w:noProof/>
          <w:sz w:val="20"/>
          <w:szCs w:val="20"/>
        </w:rPr>
        <w:t xml:space="preserve"> Comparing the content and quality of video, telephone, and face-to-face consultations: A non-randomised, quasi-experimental, exploratory study in UK primary care. British Journal of General Practice, v. 69, n. 686, p. E595–E604, 2019. </w:t>
      </w:r>
    </w:p>
    <w:p w14:paraId="5580ACAB" w14:textId="02472766" w:rsidR="00991F98" w:rsidRPr="00991F98" w:rsidRDefault="00AF118D" w:rsidP="005A6FFC">
      <w:pPr>
        <w:widowControl w:val="0"/>
        <w:autoSpaceDE w:val="0"/>
        <w:autoSpaceDN w:val="0"/>
        <w:adjustRightInd w:val="0"/>
        <w:spacing w:after="0" w:line="276" w:lineRule="auto"/>
        <w:jc w:val="both"/>
        <w:rPr>
          <w:rFonts w:ascii="Times New Roman" w:hAnsi="Times New Roman"/>
          <w:noProof/>
          <w:sz w:val="20"/>
          <w:szCs w:val="20"/>
        </w:rPr>
      </w:pPr>
      <w:r w:rsidRPr="00991F98">
        <w:rPr>
          <w:rFonts w:ascii="Times New Roman" w:hAnsi="Times New Roman"/>
          <w:noProof/>
          <w:sz w:val="20"/>
          <w:szCs w:val="20"/>
        </w:rPr>
        <w:t>HASANI, S.A</w:t>
      </w:r>
      <w:r w:rsidR="00991F98">
        <w:rPr>
          <w:rFonts w:ascii="Times New Roman" w:hAnsi="Times New Roman"/>
          <w:noProof/>
          <w:sz w:val="20"/>
          <w:szCs w:val="20"/>
        </w:rPr>
        <w:t>.</w:t>
      </w:r>
      <w:r w:rsidRPr="00991F98">
        <w:rPr>
          <w:rFonts w:ascii="Times New Roman" w:hAnsi="Times New Roman"/>
          <w:noProof/>
          <w:sz w:val="20"/>
          <w:szCs w:val="20"/>
        </w:rPr>
        <w:t>L</w:t>
      </w:r>
      <w:r w:rsidR="00991F98">
        <w:rPr>
          <w:rFonts w:ascii="Times New Roman" w:hAnsi="Times New Roman"/>
          <w:noProof/>
          <w:sz w:val="20"/>
          <w:szCs w:val="20"/>
        </w:rPr>
        <w:t>.</w:t>
      </w:r>
      <w:r w:rsidRPr="00991F98">
        <w:rPr>
          <w:rFonts w:ascii="Times New Roman" w:hAnsi="Times New Roman"/>
          <w:noProof/>
          <w:sz w:val="20"/>
          <w:szCs w:val="20"/>
        </w:rPr>
        <w:t xml:space="preserve"> </w:t>
      </w:r>
      <w:r w:rsidRPr="00991F98">
        <w:rPr>
          <w:rFonts w:ascii="Times New Roman" w:hAnsi="Times New Roman"/>
          <w:i/>
          <w:iCs/>
          <w:noProof/>
          <w:sz w:val="20"/>
          <w:szCs w:val="20"/>
        </w:rPr>
        <w:t>et al.</w:t>
      </w:r>
      <w:r w:rsidRPr="00991F98">
        <w:rPr>
          <w:rFonts w:ascii="Times New Roman" w:hAnsi="Times New Roman"/>
          <w:noProof/>
          <w:sz w:val="20"/>
          <w:szCs w:val="20"/>
        </w:rPr>
        <w:t xml:space="preserve"> The Use of Telephone Consultation in Primary Health Care During COVID-19 Pandemic, Oman: Perceptions from Physicians. Journal of Primary Care and Community Health, v. 11, 2020.</w:t>
      </w:r>
    </w:p>
    <w:p w14:paraId="258BD45D" w14:textId="7EBF12D9" w:rsidR="00991F98" w:rsidRPr="00991F98" w:rsidRDefault="00AF118D" w:rsidP="005A6FFC">
      <w:pPr>
        <w:widowControl w:val="0"/>
        <w:autoSpaceDE w:val="0"/>
        <w:autoSpaceDN w:val="0"/>
        <w:adjustRightInd w:val="0"/>
        <w:spacing w:after="0" w:line="276" w:lineRule="auto"/>
        <w:jc w:val="both"/>
        <w:rPr>
          <w:rFonts w:ascii="Times New Roman" w:hAnsi="Times New Roman"/>
          <w:noProof/>
          <w:sz w:val="20"/>
          <w:szCs w:val="20"/>
        </w:rPr>
      </w:pPr>
      <w:r w:rsidRPr="00991F98">
        <w:rPr>
          <w:rFonts w:ascii="Times New Roman" w:hAnsi="Times New Roman"/>
          <w:noProof/>
          <w:sz w:val="20"/>
          <w:szCs w:val="20"/>
        </w:rPr>
        <w:t xml:space="preserve">KELLY, M.A.; GORMLEY, G.J. In, but out of touch: Connecting with patients during the virtual visit. Annals of Family Medicine, v. 18, n. 5, p. 461–462, 1 set. 2020. </w:t>
      </w:r>
    </w:p>
    <w:p w14:paraId="500344CC" w14:textId="034301C7" w:rsidR="00991F98" w:rsidRPr="00991F98" w:rsidRDefault="00691335" w:rsidP="005A6FFC">
      <w:pPr>
        <w:widowControl w:val="0"/>
        <w:autoSpaceDE w:val="0"/>
        <w:autoSpaceDN w:val="0"/>
        <w:adjustRightInd w:val="0"/>
        <w:spacing w:after="0" w:line="276" w:lineRule="auto"/>
        <w:jc w:val="both"/>
        <w:rPr>
          <w:rFonts w:ascii="Times New Roman" w:hAnsi="Times New Roman"/>
          <w:noProof/>
          <w:sz w:val="20"/>
          <w:szCs w:val="20"/>
        </w:rPr>
      </w:pPr>
      <w:r w:rsidRPr="00991F98">
        <w:rPr>
          <w:rFonts w:ascii="Times New Roman" w:hAnsi="Times New Roman"/>
          <w:noProof/>
          <w:sz w:val="20"/>
          <w:szCs w:val="20"/>
        </w:rPr>
        <w:t>LEE, P.S</w:t>
      </w:r>
      <w:r w:rsidR="00991F98">
        <w:rPr>
          <w:rFonts w:ascii="Times New Roman" w:hAnsi="Times New Roman"/>
          <w:noProof/>
          <w:sz w:val="20"/>
          <w:szCs w:val="20"/>
        </w:rPr>
        <w:t>.</w:t>
      </w:r>
      <w:r w:rsidRPr="00991F98">
        <w:rPr>
          <w:rFonts w:ascii="Times New Roman" w:hAnsi="Times New Roman"/>
          <w:noProof/>
          <w:sz w:val="20"/>
          <w:szCs w:val="20"/>
        </w:rPr>
        <w:t xml:space="preserve"> </w:t>
      </w:r>
      <w:r w:rsidRPr="00991F98">
        <w:rPr>
          <w:rFonts w:ascii="Times New Roman" w:hAnsi="Times New Roman"/>
          <w:i/>
          <w:iCs/>
          <w:noProof/>
          <w:sz w:val="20"/>
          <w:szCs w:val="20"/>
        </w:rPr>
        <w:t>et. al</w:t>
      </w:r>
      <w:r w:rsidRPr="00991F98">
        <w:rPr>
          <w:rFonts w:ascii="Times New Roman" w:hAnsi="Times New Roman"/>
          <w:noProof/>
          <w:sz w:val="20"/>
          <w:szCs w:val="20"/>
        </w:rPr>
        <w:t>. The value of physical examination in the era of telemedicine</w:t>
      </w:r>
      <w:r w:rsidR="00991F98">
        <w:rPr>
          <w:rFonts w:ascii="Times New Roman" w:hAnsi="Times New Roman"/>
          <w:noProof/>
          <w:sz w:val="20"/>
          <w:szCs w:val="20"/>
        </w:rPr>
        <w:t xml:space="preserve">. Journal of the </w:t>
      </w:r>
      <w:r w:rsidRPr="00991F98">
        <w:rPr>
          <w:rFonts w:ascii="Times New Roman" w:hAnsi="Times New Roman"/>
          <w:noProof/>
          <w:sz w:val="20"/>
          <w:szCs w:val="20"/>
        </w:rPr>
        <w:t>Royal College of Physicians of Edinburgh</w:t>
      </w:r>
      <w:r w:rsidR="00991F98">
        <w:rPr>
          <w:rFonts w:ascii="Times New Roman" w:hAnsi="Times New Roman"/>
          <w:noProof/>
          <w:sz w:val="20"/>
          <w:szCs w:val="20"/>
        </w:rPr>
        <w:t>, v. 51, p.</w:t>
      </w:r>
      <w:r w:rsidR="005A6FFC">
        <w:rPr>
          <w:rFonts w:ascii="Times New Roman" w:hAnsi="Times New Roman"/>
          <w:noProof/>
          <w:sz w:val="20"/>
          <w:szCs w:val="20"/>
        </w:rPr>
        <w:t xml:space="preserve"> 85-90, 2021.</w:t>
      </w:r>
    </w:p>
    <w:p w14:paraId="638C4E1C" w14:textId="3CA7EBE9" w:rsidR="00991F98" w:rsidRPr="00991F98" w:rsidRDefault="00AF118D" w:rsidP="005A6FFC">
      <w:pPr>
        <w:widowControl w:val="0"/>
        <w:autoSpaceDE w:val="0"/>
        <w:autoSpaceDN w:val="0"/>
        <w:adjustRightInd w:val="0"/>
        <w:spacing w:after="0" w:line="276" w:lineRule="auto"/>
        <w:jc w:val="both"/>
        <w:rPr>
          <w:rFonts w:ascii="Times New Roman" w:hAnsi="Times New Roman"/>
          <w:noProof/>
          <w:sz w:val="20"/>
          <w:szCs w:val="20"/>
        </w:rPr>
      </w:pPr>
      <w:r w:rsidRPr="00991F98">
        <w:rPr>
          <w:rFonts w:ascii="Times New Roman" w:hAnsi="Times New Roman"/>
          <w:noProof/>
          <w:sz w:val="20"/>
          <w:szCs w:val="20"/>
        </w:rPr>
        <w:t>MEDEIROS, A.M</w:t>
      </w:r>
      <w:r w:rsidR="005A6FFC">
        <w:rPr>
          <w:rFonts w:ascii="Times New Roman" w:hAnsi="Times New Roman"/>
          <w:noProof/>
          <w:sz w:val="20"/>
          <w:szCs w:val="20"/>
        </w:rPr>
        <w:t>.</w:t>
      </w:r>
      <w:r w:rsidRPr="00991F98">
        <w:rPr>
          <w:rFonts w:ascii="Times New Roman" w:hAnsi="Times New Roman"/>
          <w:noProof/>
          <w:sz w:val="20"/>
          <w:szCs w:val="20"/>
        </w:rPr>
        <w:t xml:space="preserve">B. </w:t>
      </w:r>
      <w:r w:rsidRPr="00991F98">
        <w:rPr>
          <w:rFonts w:ascii="Times New Roman" w:hAnsi="Times New Roman"/>
          <w:i/>
          <w:iCs/>
          <w:noProof/>
          <w:sz w:val="20"/>
          <w:szCs w:val="20"/>
        </w:rPr>
        <w:t>et al.</w:t>
      </w:r>
      <w:r w:rsidRPr="00991F98">
        <w:rPr>
          <w:rFonts w:ascii="Times New Roman" w:hAnsi="Times New Roman"/>
          <w:noProof/>
          <w:sz w:val="20"/>
          <w:szCs w:val="20"/>
        </w:rPr>
        <w:t xml:space="preserve"> Os desafios da telemedicina frente a relação médico – paciente em tempos de Covid -19. </w:t>
      </w:r>
      <w:r w:rsidRPr="00991F98">
        <w:rPr>
          <w:rFonts w:ascii="Times New Roman" w:hAnsi="Times New Roman"/>
          <w:i/>
          <w:iCs/>
          <w:noProof/>
          <w:sz w:val="20"/>
          <w:szCs w:val="20"/>
        </w:rPr>
        <w:t>Research, Society and Development</w:t>
      </w:r>
      <w:r w:rsidRPr="00991F98">
        <w:rPr>
          <w:rFonts w:ascii="Times New Roman" w:hAnsi="Times New Roman"/>
          <w:noProof/>
          <w:sz w:val="20"/>
          <w:szCs w:val="20"/>
        </w:rPr>
        <w:t>, v. 9, n. 10, p. e9219109379, 2020.</w:t>
      </w:r>
    </w:p>
    <w:p w14:paraId="6BB13D22" w14:textId="11122177" w:rsidR="00991F98" w:rsidRPr="00991F98" w:rsidRDefault="00AF118D" w:rsidP="005A6FFC">
      <w:pPr>
        <w:widowControl w:val="0"/>
        <w:autoSpaceDE w:val="0"/>
        <w:autoSpaceDN w:val="0"/>
        <w:adjustRightInd w:val="0"/>
        <w:spacing w:after="0" w:line="276" w:lineRule="auto"/>
        <w:jc w:val="both"/>
        <w:rPr>
          <w:rFonts w:ascii="Times New Roman" w:hAnsi="Times New Roman"/>
          <w:noProof/>
          <w:sz w:val="20"/>
          <w:szCs w:val="20"/>
        </w:rPr>
      </w:pPr>
      <w:r w:rsidRPr="00991F98">
        <w:rPr>
          <w:rFonts w:ascii="Times New Roman" w:hAnsi="Times New Roman"/>
          <w:noProof/>
          <w:sz w:val="20"/>
          <w:szCs w:val="20"/>
        </w:rPr>
        <w:t xml:space="preserve">QUISPE-JULI, C. U. Consideraciones éticas para la práctica de la telemedicina en el Perú: desafíos en los tiempos del covid-19. </w:t>
      </w:r>
      <w:r w:rsidRPr="00991F98">
        <w:rPr>
          <w:rFonts w:ascii="Times New Roman" w:hAnsi="Times New Roman"/>
          <w:i/>
          <w:iCs/>
          <w:noProof/>
          <w:sz w:val="20"/>
          <w:szCs w:val="20"/>
        </w:rPr>
        <w:t>Scielo (pre-print)</w:t>
      </w:r>
      <w:r w:rsidRPr="00991F98">
        <w:rPr>
          <w:rFonts w:ascii="Times New Roman" w:hAnsi="Times New Roman"/>
          <w:noProof/>
          <w:sz w:val="20"/>
          <w:szCs w:val="20"/>
        </w:rPr>
        <w:t>, v. 1, n. 1, 2020.</w:t>
      </w:r>
    </w:p>
    <w:p w14:paraId="0BCCF275" w14:textId="7F9A9836" w:rsidR="00991F98" w:rsidRPr="00991F98" w:rsidRDefault="00AF118D" w:rsidP="005A6FFC">
      <w:pPr>
        <w:widowControl w:val="0"/>
        <w:autoSpaceDE w:val="0"/>
        <w:autoSpaceDN w:val="0"/>
        <w:adjustRightInd w:val="0"/>
        <w:spacing w:after="0" w:line="276" w:lineRule="auto"/>
        <w:jc w:val="both"/>
        <w:rPr>
          <w:rFonts w:ascii="Times New Roman" w:hAnsi="Times New Roman"/>
          <w:noProof/>
          <w:sz w:val="20"/>
          <w:szCs w:val="20"/>
        </w:rPr>
      </w:pPr>
      <w:r w:rsidRPr="00991F98">
        <w:rPr>
          <w:rFonts w:ascii="Times New Roman" w:hAnsi="Times New Roman"/>
          <w:noProof/>
          <w:sz w:val="20"/>
          <w:szCs w:val="20"/>
        </w:rPr>
        <w:t xml:space="preserve">ROCHA DE MACEDO, B. </w:t>
      </w:r>
      <w:r w:rsidRPr="00991F98">
        <w:rPr>
          <w:rFonts w:ascii="Times New Roman" w:hAnsi="Times New Roman"/>
          <w:i/>
          <w:iCs/>
          <w:noProof/>
          <w:sz w:val="20"/>
          <w:szCs w:val="20"/>
        </w:rPr>
        <w:t>et al.</w:t>
      </w:r>
      <w:r w:rsidRPr="00991F98">
        <w:rPr>
          <w:rFonts w:ascii="Times New Roman" w:hAnsi="Times New Roman"/>
          <w:noProof/>
          <w:sz w:val="20"/>
          <w:szCs w:val="20"/>
        </w:rPr>
        <w:t xml:space="preserve"> Implementation of Tele-ICU during the COVID-19 pandemic. </w:t>
      </w:r>
      <w:r w:rsidRPr="00991F98">
        <w:rPr>
          <w:rFonts w:ascii="Times New Roman" w:hAnsi="Times New Roman"/>
          <w:i/>
          <w:iCs/>
          <w:noProof/>
          <w:sz w:val="20"/>
          <w:szCs w:val="20"/>
        </w:rPr>
        <w:t>Jornal Brasileiro de Pneumologia</w:t>
      </w:r>
      <w:r w:rsidRPr="00991F98">
        <w:rPr>
          <w:rFonts w:ascii="Times New Roman" w:hAnsi="Times New Roman"/>
          <w:noProof/>
          <w:sz w:val="20"/>
          <w:szCs w:val="20"/>
        </w:rPr>
        <w:t>, v. 47, n. 2, 2021.</w:t>
      </w:r>
    </w:p>
    <w:p w14:paraId="3D65ED90" w14:textId="7F9C28C7" w:rsidR="006321C9" w:rsidRPr="00991F98" w:rsidRDefault="00AF118D" w:rsidP="005A6FFC">
      <w:pPr>
        <w:spacing w:after="0" w:line="276" w:lineRule="auto"/>
        <w:jc w:val="both"/>
        <w:rPr>
          <w:rFonts w:ascii="Times New Roman" w:hAnsi="Times New Roman"/>
          <w:sz w:val="20"/>
          <w:szCs w:val="20"/>
        </w:rPr>
      </w:pPr>
      <w:r w:rsidRPr="00991F98">
        <w:rPr>
          <w:rFonts w:ascii="Times New Roman" w:hAnsi="Times New Roman"/>
          <w:sz w:val="20"/>
          <w:szCs w:val="20"/>
        </w:rPr>
        <w:fldChar w:fldCharType="end"/>
      </w:r>
      <w:r w:rsidR="006321C9" w:rsidRPr="00991F98">
        <w:rPr>
          <w:rFonts w:ascii="Times New Roman" w:hAnsi="Times New Roman"/>
          <w:sz w:val="20"/>
          <w:szCs w:val="20"/>
        </w:rPr>
        <w:fldChar w:fldCharType="begin" w:fldLock="1"/>
      </w:r>
      <w:r w:rsidR="006321C9" w:rsidRPr="00991F98">
        <w:rPr>
          <w:rFonts w:ascii="Times New Roman" w:hAnsi="Times New Roman"/>
          <w:sz w:val="20"/>
          <w:szCs w:val="20"/>
        </w:rPr>
        <w:instrText xml:space="preserve">ADDIN Mendeley Bibliography CSL_BIBLIOGRAPHY </w:instrText>
      </w:r>
      <w:r w:rsidR="006321C9" w:rsidRPr="00991F98">
        <w:rPr>
          <w:rFonts w:ascii="Times New Roman" w:hAnsi="Times New Roman"/>
          <w:sz w:val="20"/>
          <w:szCs w:val="20"/>
        </w:rPr>
        <w:fldChar w:fldCharType="separate"/>
      </w:r>
      <w:r w:rsidR="006321C9" w:rsidRPr="00991F98">
        <w:rPr>
          <w:rFonts w:ascii="Times New Roman" w:hAnsi="Times New Roman"/>
          <w:noProof/>
          <w:sz w:val="20"/>
          <w:szCs w:val="20"/>
        </w:rPr>
        <w:t>SILVER, S. L.</w:t>
      </w:r>
      <w:r w:rsidR="00691335" w:rsidRPr="00991F98">
        <w:rPr>
          <w:rFonts w:ascii="Times New Roman" w:hAnsi="Times New Roman"/>
          <w:noProof/>
          <w:sz w:val="20"/>
          <w:szCs w:val="20"/>
        </w:rPr>
        <w:t xml:space="preserve">, </w:t>
      </w:r>
      <w:r w:rsidR="00691335" w:rsidRPr="00991F98">
        <w:rPr>
          <w:rFonts w:ascii="Times New Roman" w:hAnsi="Times New Roman"/>
          <w:i/>
          <w:iCs/>
          <w:noProof/>
          <w:sz w:val="20"/>
          <w:szCs w:val="20"/>
        </w:rPr>
        <w:t>et al</w:t>
      </w:r>
      <w:r w:rsidR="006321C9" w:rsidRPr="00991F98">
        <w:rPr>
          <w:rFonts w:ascii="Times New Roman" w:hAnsi="Times New Roman"/>
          <w:noProof/>
          <w:sz w:val="20"/>
          <w:szCs w:val="20"/>
        </w:rPr>
        <w:t xml:space="preserve">. A Stepwise Transition to Telemedicine in Response to COVID-19. </w:t>
      </w:r>
      <w:r w:rsidR="006321C9" w:rsidRPr="00991F98">
        <w:rPr>
          <w:rFonts w:ascii="Times New Roman" w:hAnsi="Times New Roman"/>
          <w:i/>
          <w:iCs/>
          <w:noProof/>
          <w:sz w:val="20"/>
          <w:szCs w:val="20"/>
        </w:rPr>
        <w:t>Journal of the American Board of Family Medicine</w:t>
      </w:r>
      <w:r w:rsidR="006321C9" w:rsidRPr="00991F98">
        <w:rPr>
          <w:rFonts w:ascii="Times New Roman" w:hAnsi="Times New Roman"/>
          <w:noProof/>
          <w:sz w:val="20"/>
          <w:szCs w:val="20"/>
        </w:rPr>
        <w:t>, v. 34, p. S152–S161, 2021.</w:t>
      </w:r>
    </w:p>
    <w:p w14:paraId="167AFC2F" w14:textId="0C3AF0AA" w:rsidR="00E64D34" w:rsidRPr="00991F98" w:rsidRDefault="006321C9" w:rsidP="005A6FFC">
      <w:pPr>
        <w:spacing w:after="0" w:line="276" w:lineRule="auto"/>
        <w:jc w:val="both"/>
        <w:rPr>
          <w:rFonts w:ascii="Times New Roman" w:hAnsi="Times New Roman"/>
          <w:sz w:val="20"/>
          <w:szCs w:val="20"/>
        </w:rPr>
      </w:pPr>
      <w:r w:rsidRPr="00991F98">
        <w:rPr>
          <w:rFonts w:ascii="Times New Roman" w:hAnsi="Times New Roman"/>
          <w:sz w:val="20"/>
          <w:szCs w:val="20"/>
        </w:rPr>
        <w:fldChar w:fldCharType="end"/>
      </w:r>
      <w:r w:rsidRPr="00991F98">
        <w:rPr>
          <w:rFonts w:ascii="Times New Roman" w:hAnsi="Times New Roman"/>
          <w:sz w:val="20"/>
          <w:szCs w:val="20"/>
        </w:rPr>
        <w:fldChar w:fldCharType="begin" w:fldLock="1"/>
      </w:r>
      <w:r w:rsidRPr="00991F98">
        <w:rPr>
          <w:rFonts w:ascii="Times New Roman" w:hAnsi="Times New Roman"/>
          <w:sz w:val="20"/>
          <w:szCs w:val="20"/>
        </w:rPr>
        <w:instrText>ADDIN CSL_CITATION {"citationItems":[{"id":"ITEM-1","itemData":{"DOI":"10.3122/JABFM.2021.S1.200358","ISSN":"15587118","PMID":"33622831","abstract":"Introduction: With the emergence of COVID-19, many primary care offices closed their physical space to limit exposure. Despite decades of telemedicine in clinical practice, it is rare to find it used in small-metro and academic settings. Following the decision to limit face-to-face care, we tracked our practice's transition to telemedicine. Methods: This was a prospective quality improvement project following Plan-Do-Study-Act (PDSA) cycles to optimize the use of telemedicine (both telephone and video in this practice) encounters. Central to the PDSA cycles was the use of a post-encounter questionnaire to track patient, appointment, and physician factors. Throughout the cycles, inferential statistics were used to inform process improvement. Results: In Cycle 2, a logistic regression model showed length of encounter, need for physical examination, and physician satisfaction correctly predicted a physician's preferred medium (x 2(3) = 40.56, P&lt;.001). In Cycle 3, a x 2 test showed the reason for visit predicted the preferred medium (x 2(4) = 47.30, P&lt;.001). In cycle 4, week of telemedicine, need for physical examination, length of encounter and physician satisfaction predicted the preferred medium (x 2(9) = 172.52, P&lt;.001). Discussion: Using the variables that predicted preference for telemedicine, we were able to adjust our processes through PDSA cycles. Conclusion: Early use of the PDSA cycle allows for informed quality improvement at the local level. Our findings highlight factors to consider when implementing telemedicine such as need for physical examination and type or length of encounter. In addition, physician satisfaction can encourage use of telemedicine, and tools for learning and practicing telemedicine should be available.","author":[{"dropping-particle":"","family":"Silver","given":"Sabrina L","non-dropping-particle":"","parse-names":false,"suffix":""},{"dropping-particle":"","family":"Lewis","given":"Meghan N","non-dropping-particle":"","parse-names":false,"suffix":""},{"dropping-particle":"","family":"Ledford","given":"Christy J.W.","non-dropping-particle":"","parse-names":false,"suffix":""}],"container-title":"Journal of the American Board of Family Medicine","id":"ITEM-1","issued":{"date-parts":[["2021"]]},"page":"S152-S161","title":"A Stepwise Transition to Telemedicine in Response to COVID-19","type":"article-journal","volume":"34"},"uris":["http://www.mendeley.com/documents/?uuid=f9ae451b-d6c6-3abc-9d48-2ddc0e0d9468"]}],"mendeley":{"formattedCitation":"(SILVER; LEWIS; LEDFORD, 2021)","manualFormatting":"(SILVER; LEWIS; LEDFORD,","plainTextFormattedCitation":"(SILVER; LEWIS; LEDFORD, 2021)"},"properties":{"noteIndex":0},"schema":"https://github.com/citation-style-language/schema/raw/master/csl-citation.json"}</w:instrText>
      </w:r>
      <w:r w:rsidRPr="00991F98">
        <w:rPr>
          <w:rFonts w:ascii="Times New Roman" w:hAnsi="Times New Roman"/>
          <w:sz w:val="20"/>
          <w:szCs w:val="20"/>
        </w:rPr>
        <w:fldChar w:fldCharType="end"/>
      </w:r>
      <w:r w:rsidRPr="00991F98">
        <w:rPr>
          <w:rFonts w:ascii="Times New Roman" w:hAnsi="Times New Roman"/>
          <w:sz w:val="20"/>
          <w:szCs w:val="20"/>
        </w:rPr>
        <w:t xml:space="preserve"> </w:t>
      </w:r>
    </w:p>
    <w:sectPr w:rsidR="00E64D34" w:rsidRPr="00991F98">
      <w:headerReference w:type="defaul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AC36F" w14:textId="77777777" w:rsidR="00297209" w:rsidRDefault="00297209">
      <w:pPr>
        <w:spacing w:line="240" w:lineRule="auto"/>
      </w:pPr>
      <w:r>
        <w:separator/>
      </w:r>
    </w:p>
  </w:endnote>
  <w:endnote w:type="continuationSeparator" w:id="0">
    <w:p w14:paraId="1F573124" w14:textId="77777777" w:rsidR="00297209" w:rsidRDefault="00297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A8FF8" w14:textId="77777777" w:rsidR="00297209" w:rsidRDefault="00297209">
      <w:pPr>
        <w:spacing w:after="0" w:line="240" w:lineRule="auto"/>
      </w:pPr>
      <w:r>
        <w:separator/>
      </w:r>
    </w:p>
  </w:footnote>
  <w:footnote w:type="continuationSeparator" w:id="0">
    <w:p w14:paraId="007FD3C9" w14:textId="77777777" w:rsidR="00297209" w:rsidRDefault="00297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940C6" w14:textId="77777777" w:rsidR="00E64D34" w:rsidRDefault="006A258C">
    <w:pPr>
      <w:pStyle w:val="Cabealho"/>
    </w:pPr>
    <w:r>
      <w:rPr>
        <w:noProof/>
        <w:lang w:eastAsia="pt-BR"/>
      </w:rPr>
      <w:drawing>
        <wp:anchor distT="0" distB="0" distL="114300" distR="114300" simplePos="0" relativeHeight="251660288" behindDoc="1" locked="0" layoutInCell="1" allowOverlap="1" wp14:anchorId="07BC8C7C" wp14:editId="67661B3B">
          <wp:simplePos x="0" y="0"/>
          <wp:positionH relativeFrom="column">
            <wp:posOffset>-1080135</wp:posOffset>
          </wp:positionH>
          <wp:positionV relativeFrom="paragraph">
            <wp:posOffset>-447675</wp:posOffset>
          </wp:positionV>
          <wp:extent cx="2752725" cy="895350"/>
          <wp:effectExtent l="0" t="0" r="9525" b="0"/>
          <wp:wrapNone/>
          <wp:docPr id="2" name="Imagem 2" descr="WhatsApp Image 2021-04-11 a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WhatsApp Image 2021-04-11 at 20"/>
                  <pic:cNvPicPr>
                    <a:picLocks noChangeAspect="1" noChangeArrowheads="1"/>
                  </pic:cNvPicPr>
                </pic:nvPicPr>
                <pic:blipFill>
                  <a:blip r:embed="rId1">
                    <a:extLst>
                      <a:ext uri="{28A0092B-C50C-407E-A947-70E740481C1C}">
                        <a14:useLocalDpi xmlns:a14="http://schemas.microsoft.com/office/drawing/2010/main" val="0"/>
                      </a:ext>
                    </a:extLst>
                  </a:blip>
                  <a:srcRect t="13086" r="52296" b="49001"/>
                  <a:stretch>
                    <a:fillRect/>
                  </a:stretch>
                </pic:blipFill>
                <pic:spPr>
                  <a:xfrm>
                    <a:off x="0" y="0"/>
                    <a:ext cx="2752725" cy="895350"/>
                  </a:xfrm>
                  <a:prstGeom prst="rect">
                    <a:avLst/>
                  </a:prstGeom>
                  <a:noFill/>
                  <a:ln>
                    <a:noFill/>
                  </a:ln>
                </pic:spPr>
              </pic:pic>
            </a:graphicData>
          </a:graphic>
        </wp:anchor>
      </w:drawing>
    </w:r>
    <w:r>
      <w:rPr>
        <w:noProof/>
        <w:lang w:eastAsia="pt-BR"/>
      </w:rPr>
      <w:drawing>
        <wp:anchor distT="0" distB="0" distL="114300" distR="114300" simplePos="0" relativeHeight="251659264" behindDoc="1" locked="0" layoutInCell="1" allowOverlap="1" wp14:anchorId="532F8A63" wp14:editId="61DCDDA4">
          <wp:simplePos x="0" y="0"/>
          <wp:positionH relativeFrom="column">
            <wp:posOffset>-2718435</wp:posOffset>
          </wp:positionH>
          <wp:positionV relativeFrom="paragraph">
            <wp:posOffset>-438150</wp:posOffset>
          </wp:positionV>
          <wp:extent cx="9201150" cy="885825"/>
          <wp:effectExtent l="0" t="0" r="0" b="9525"/>
          <wp:wrapNone/>
          <wp:docPr id="1" name="Imagem 1" descr="WhatsApp Image 2021-04-11 a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WhatsApp Image 2021-04-11 at 20"/>
                  <pic:cNvPicPr>
                    <a:picLocks noChangeAspect="1" noChangeArrowheads="1"/>
                  </pic:cNvPicPr>
                </pic:nvPicPr>
                <pic:blipFill>
                  <a:blip r:embed="rId1">
                    <a:extLst>
                      <a:ext uri="{28A0092B-C50C-407E-A947-70E740481C1C}">
                        <a14:useLocalDpi xmlns:a14="http://schemas.microsoft.com/office/drawing/2010/main" val="0"/>
                      </a:ext>
                    </a:extLst>
                  </a:blip>
                  <a:srcRect t="12250" b="48500"/>
                  <a:stretch>
                    <a:fillRect/>
                  </a:stretch>
                </pic:blipFill>
                <pic:spPr>
                  <a:xfrm>
                    <a:off x="0" y="0"/>
                    <a:ext cx="9201150" cy="8858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CD9102B"/>
    <w:multiLevelType w:val="singleLevel"/>
    <w:tmpl w:val="ECD9102B"/>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94"/>
    <w:rsid w:val="00006484"/>
    <w:rsid w:val="00032567"/>
    <w:rsid w:val="0004460F"/>
    <w:rsid w:val="00057EFE"/>
    <w:rsid w:val="00075B4B"/>
    <w:rsid w:val="00084920"/>
    <w:rsid w:val="000C056B"/>
    <w:rsid w:val="000C0C58"/>
    <w:rsid w:val="000E0316"/>
    <w:rsid w:val="000F4AD6"/>
    <w:rsid w:val="00100402"/>
    <w:rsid w:val="00121522"/>
    <w:rsid w:val="00125606"/>
    <w:rsid w:val="00145C49"/>
    <w:rsid w:val="001E3597"/>
    <w:rsid w:val="001E3EAB"/>
    <w:rsid w:val="002155BA"/>
    <w:rsid w:val="00291343"/>
    <w:rsid w:val="00297209"/>
    <w:rsid w:val="002A2282"/>
    <w:rsid w:val="002E7183"/>
    <w:rsid w:val="003137E6"/>
    <w:rsid w:val="00331C41"/>
    <w:rsid w:val="00375437"/>
    <w:rsid w:val="003E2E30"/>
    <w:rsid w:val="0045144A"/>
    <w:rsid w:val="004605BF"/>
    <w:rsid w:val="0046332E"/>
    <w:rsid w:val="00472A32"/>
    <w:rsid w:val="00527677"/>
    <w:rsid w:val="00594DA1"/>
    <w:rsid w:val="005A6FFC"/>
    <w:rsid w:val="005B6466"/>
    <w:rsid w:val="005E31FC"/>
    <w:rsid w:val="005E51AC"/>
    <w:rsid w:val="006321C9"/>
    <w:rsid w:val="00634F3C"/>
    <w:rsid w:val="006351C5"/>
    <w:rsid w:val="006432EC"/>
    <w:rsid w:val="0067087E"/>
    <w:rsid w:val="00690E77"/>
    <w:rsid w:val="00691335"/>
    <w:rsid w:val="00696324"/>
    <w:rsid w:val="006A258C"/>
    <w:rsid w:val="007023D5"/>
    <w:rsid w:val="0070619E"/>
    <w:rsid w:val="0072113D"/>
    <w:rsid w:val="00721AB2"/>
    <w:rsid w:val="0072272C"/>
    <w:rsid w:val="00742845"/>
    <w:rsid w:val="00754659"/>
    <w:rsid w:val="00773D8C"/>
    <w:rsid w:val="007B6108"/>
    <w:rsid w:val="007E247C"/>
    <w:rsid w:val="00806D59"/>
    <w:rsid w:val="008255BD"/>
    <w:rsid w:val="008676B2"/>
    <w:rsid w:val="008D7AC1"/>
    <w:rsid w:val="00907431"/>
    <w:rsid w:val="0091395F"/>
    <w:rsid w:val="00940036"/>
    <w:rsid w:val="009406F8"/>
    <w:rsid w:val="0095403B"/>
    <w:rsid w:val="00991F98"/>
    <w:rsid w:val="009959E8"/>
    <w:rsid w:val="00997781"/>
    <w:rsid w:val="009C5D40"/>
    <w:rsid w:val="009E04F5"/>
    <w:rsid w:val="009E3466"/>
    <w:rsid w:val="009F4E15"/>
    <w:rsid w:val="009F71D5"/>
    <w:rsid w:val="00A179AF"/>
    <w:rsid w:val="00A36530"/>
    <w:rsid w:val="00A52D05"/>
    <w:rsid w:val="00A82970"/>
    <w:rsid w:val="00A92DF9"/>
    <w:rsid w:val="00AF118D"/>
    <w:rsid w:val="00B4251D"/>
    <w:rsid w:val="00B47E53"/>
    <w:rsid w:val="00B83B11"/>
    <w:rsid w:val="00C004DA"/>
    <w:rsid w:val="00C00DB5"/>
    <w:rsid w:val="00C029BB"/>
    <w:rsid w:val="00C16C80"/>
    <w:rsid w:val="00C35F21"/>
    <w:rsid w:val="00C53B57"/>
    <w:rsid w:val="00D0456C"/>
    <w:rsid w:val="00D108C2"/>
    <w:rsid w:val="00D21294"/>
    <w:rsid w:val="00D57893"/>
    <w:rsid w:val="00DB332D"/>
    <w:rsid w:val="00DD0B5B"/>
    <w:rsid w:val="00E2250F"/>
    <w:rsid w:val="00E64D34"/>
    <w:rsid w:val="00EC2983"/>
    <w:rsid w:val="00EF059E"/>
    <w:rsid w:val="00EF27F3"/>
    <w:rsid w:val="00EF75FE"/>
    <w:rsid w:val="00F034B4"/>
    <w:rsid w:val="00F12659"/>
    <w:rsid w:val="00F445DA"/>
    <w:rsid w:val="00F50ABD"/>
    <w:rsid w:val="00F67037"/>
    <w:rsid w:val="00F75EDA"/>
    <w:rsid w:val="00FA4052"/>
    <w:rsid w:val="15E20B57"/>
    <w:rsid w:val="3741532A"/>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141B857"/>
  <w15:docId w15:val="{982E2429-D7C6-4F8D-A17E-AFC12B7E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uiPriority="66"/>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uiPriority="60"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F3C"/>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unhideWhenUsed/>
    <w:qFormat/>
    <w:rPr>
      <w:sz w:val="16"/>
      <w:szCs w:val="16"/>
    </w:rPr>
  </w:style>
  <w:style w:type="character" w:styleId="Hyperlink">
    <w:name w:val="Hyperlink"/>
    <w:uiPriority w:val="99"/>
    <w:unhideWhenUsed/>
    <w:rPr>
      <w:color w:val="EE7B08"/>
      <w:u w:val="single"/>
    </w:rPr>
  </w:style>
  <w:style w:type="paragraph" w:styleId="Textodecomentrio">
    <w:name w:val="annotation text"/>
    <w:basedOn w:val="Normal"/>
    <w:link w:val="TextodecomentrioChar"/>
    <w:uiPriority w:val="99"/>
    <w:semiHidden/>
    <w:unhideWhenUsed/>
    <w:rPr>
      <w:sz w:val="20"/>
      <w:szCs w:val="20"/>
      <w:lang w:val="zh-CN" w:eastAsia="zh-CN"/>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qFormat/>
    <w:pPr>
      <w:spacing w:line="240" w:lineRule="auto"/>
    </w:pPr>
    <w:rPr>
      <w:b/>
      <w:bCs/>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Segoe UI" w:hAnsi="Segoe UI"/>
      <w:sz w:val="18"/>
      <w:szCs w:val="18"/>
      <w:lang w:val="zh-CN" w:eastAsia="zh-CN"/>
    </w:rPr>
  </w:style>
  <w:style w:type="paragraph" w:styleId="PargrafodaLista">
    <w:name w:val="List Paragraph"/>
    <w:basedOn w:val="Normal"/>
    <w:uiPriority w:val="34"/>
    <w:qFormat/>
    <w:pPr>
      <w:ind w:left="720"/>
      <w:contextualSpacing/>
    </w:pPr>
  </w:style>
  <w:style w:type="character" w:customStyle="1" w:styleId="CabealhoChar">
    <w:name w:val="Cabeçalho Char"/>
    <w:basedOn w:val="Fontepargpadro"/>
    <w:link w:val="Cabealho"/>
    <w:uiPriority w:val="99"/>
  </w:style>
  <w:style w:type="character" w:customStyle="1" w:styleId="RodapChar">
    <w:name w:val="Rodapé Char"/>
    <w:basedOn w:val="Fontepargpadro"/>
    <w:link w:val="Rodap"/>
    <w:uiPriority w:val="99"/>
    <w:qFormat/>
  </w:style>
  <w:style w:type="character" w:customStyle="1" w:styleId="TextodecomentrioChar">
    <w:name w:val="Texto de comentário Char"/>
    <w:link w:val="Textodecomentrio"/>
    <w:uiPriority w:val="99"/>
    <w:semiHidden/>
    <w:qFormat/>
    <w:rPr>
      <w:rFonts w:ascii="Calibri" w:eastAsia="Calibri" w:hAnsi="Calibri" w:cs="Times New Roman"/>
      <w:sz w:val="20"/>
      <w:szCs w:val="20"/>
    </w:rPr>
  </w:style>
  <w:style w:type="character" w:customStyle="1" w:styleId="TextodebaloChar">
    <w:name w:val="Texto de balão Char"/>
    <w:link w:val="Textodebalo"/>
    <w:uiPriority w:val="99"/>
    <w:semiHidden/>
    <w:qFormat/>
    <w:rPr>
      <w:rFonts w:ascii="Segoe UI" w:hAnsi="Segoe UI" w:cs="Segoe UI"/>
      <w:sz w:val="18"/>
      <w:szCs w:val="18"/>
    </w:rPr>
  </w:style>
  <w:style w:type="character" w:customStyle="1" w:styleId="AssuntodocomentrioChar">
    <w:name w:val="Assunto do comentário Char"/>
    <w:link w:val="Assuntodocomentrio"/>
    <w:uiPriority w:val="99"/>
    <w:semiHidden/>
    <w:qFormat/>
    <w:rPr>
      <w:rFonts w:ascii="Calibri" w:eastAsia="Calibri" w:hAnsi="Calibri" w:cs="Times New Roman"/>
      <w:b/>
      <w:bCs/>
      <w:sz w:val="20"/>
      <w:szCs w:val="20"/>
    </w:rPr>
  </w:style>
  <w:style w:type="table" w:styleId="ListaMdia2-nfase1">
    <w:name w:val="Medium List 2 Accent 1"/>
    <w:basedOn w:val="Tabelanormal"/>
    <w:uiPriority w:val="66"/>
    <w:rPr>
      <w:rFonts w:ascii="Calibri Light" w:eastAsia="Times New Roman" w:hAnsi="Calibri Light"/>
      <w:color w:val="000000"/>
      <w:sz w:val="22"/>
      <w:szCs w:val="22"/>
      <w:lang w:eastAsia="en-US"/>
    </w:rPr>
    <w:tblPr>
      <w:tblInd w:w="0" w:type="dxa"/>
      <w:tblBorders>
        <w:top w:val="single" w:sz="8" w:space="0" w:color="99CB38"/>
        <w:left w:val="single" w:sz="8" w:space="0" w:color="99CB38"/>
        <w:bottom w:val="single" w:sz="8" w:space="0" w:color="99CB38"/>
        <w:right w:val="single" w:sz="8" w:space="0" w:color="99CB38"/>
      </w:tblBorders>
      <w:tblCellMar>
        <w:top w:w="0" w:type="dxa"/>
        <w:left w:w="108" w:type="dxa"/>
        <w:bottom w:w="0" w:type="dxa"/>
        <w:right w:w="108" w:type="dxa"/>
      </w:tblCellMar>
    </w:tblPr>
    <w:tblStylePr w:type="firstRow">
      <w:rPr>
        <w:sz w:val="24"/>
        <w:szCs w:val="24"/>
      </w:rPr>
      <w:tblPr/>
      <w:tcPr>
        <w:tcBorders>
          <w:top w:val="nil"/>
          <w:left w:val="nil"/>
          <w:bottom w:val="single" w:sz="24" w:space="0" w:color="99CB38"/>
          <w:right w:val="nil"/>
          <w:insideH w:val="nil"/>
          <w:insideV w:val="nil"/>
        </w:tcBorders>
        <w:shd w:val="clear" w:color="auto" w:fill="FFFFFF"/>
      </w:tcPr>
    </w:tblStylePr>
    <w:tblStylePr w:type="lastRow">
      <w:tblPr/>
      <w:tcPr>
        <w:tcBorders>
          <w:top w:val="single" w:sz="8" w:space="0" w:color="99CB38"/>
          <w:left w:val="nil"/>
          <w:bottom w:val="nil"/>
          <w:right w:val="nil"/>
          <w:insideH w:val="nil"/>
          <w:insideV w:val="nil"/>
        </w:tcBorders>
        <w:shd w:val="clear" w:color="auto" w:fill="FFFFFF"/>
      </w:tcPr>
    </w:tblStylePr>
    <w:tblStylePr w:type="firstCol">
      <w:tblPr/>
      <w:tcPr>
        <w:tcBorders>
          <w:top w:val="nil"/>
          <w:left w:val="nil"/>
          <w:bottom w:val="nil"/>
          <w:right w:val="single" w:sz="8" w:space="0" w:color="99CB38"/>
          <w:insideH w:val="nil"/>
          <w:insideV w:val="nil"/>
        </w:tcBorders>
        <w:shd w:val="clear" w:color="auto" w:fill="FFFFFF"/>
      </w:tcPr>
    </w:tblStylePr>
    <w:tblStylePr w:type="lastCol">
      <w:tblPr/>
      <w:tcPr>
        <w:tcBorders>
          <w:top w:val="nil"/>
          <w:left w:val="single" w:sz="8" w:space="0" w:color="99CB3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F2CD"/>
      </w:tcPr>
    </w:tblStylePr>
    <w:tblStylePr w:type="band1Horz">
      <w:tblPr/>
      <w:tcPr>
        <w:tcBorders>
          <w:top w:val="nil"/>
          <w:bottom w:val="nil"/>
          <w:insideH w:val="nil"/>
          <w:insideV w:val="nil"/>
        </w:tcBorders>
        <w:shd w:val="clear" w:color="auto" w:fill="E5F2CD"/>
      </w:tcPr>
    </w:tblStylePr>
    <w:tblStylePr w:type="nwCell">
      <w:tblPr/>
      <w:tcPr>
        <w:shd w:val="clear" w:color="auto" w:fill="FFFFFF"/>
      </w:tcPr>
    </w:tblStylePr>
    <w:tblStylePr w:type="swCell">
      <w:tblPr/>
      <w:tcPr>
        <w:tcBorders>
          <w:top w:val="nil"/>
        </w:tcBorders>
      </w:tcPr>
    </w:tblStylePr>
  </w:style>
  <w:style w:type="table" w:styleId="SombreamentoClaro-nfase2">
    <w:name w:val="Light Shading Accent 2"/>
    <w:basedOn w:val="Tabelanormal"/>
    <w:uiPriority w:val="60"/>
    <w:qFormat/>
    <w:rPr>
      <w:color w:val="7030A0"/>
    </w:rPr>
    <w:tblPr>
      <w:tblInd w:w="0" w:type="dxa"/>
      <w:tblBorders>
        <w:top w:val="single" w:sz="8" w:space="0" w:color="63A537"/>
        <w:bottom w:val="single" w:sz="8" w:space="0" w:color="63A53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3A537"/>
          <w:left w:val="nil"/>
          <w:bottom w:val="single" w:sz="8" w:space="0" w:color="63A537"/>
          <w:right w:val="nil"/>
          <w:insideH w:val="nil"/>
          <w:insideV w:val="nil"/>
        </w:tcBorders>
      </w:tcPr>
    </w:tblStylePr>
    <w:tblStylePr w:type="lastRow">
      <w:pPr>
        <w:spacing w:before="0" w:after="0" w:line="240" w:lineRule="auto"/>
      </w:pPr>
      <w:rPr>
        <w:b/>
        <w:bCs/>
      </w:rPr>
      <w:tblPr/>
      <w:tcPr>
        <w:tcBorders>
          <w:top w:val="single" w:sz="8" w:space="0" w:color="63A537"/>
          <w:left w:val="nil"/>
          <w:bottom w:val="single" w:sz="8" w:space="0" w:color="63A53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DC9"/>
      </w:tcPr>
    </w:tblStylePr>
    <w:tblStylePr w:type="band1Horz">
      <w:tblPr/>
      <w:tcPr>
        <w:tcBorders>
          <w:left w:val="nil"/>
          <w:right w:val="nil"/>
          <w:insideH w:val="nil"/>
          <w:insideV w:val="nil"/>
        </w:tcBorders>
        <w:shd w:val="clear" w:color="auto" w:fill="D7EDC9"/>
      </w:tcPr>
    </w:tblStylePr>
  </w:style>
  <w:style w:type="table" w:customStyle="1" w:styleId="TabeladeGrade2-nfase11">
    <w:name w:val="Tabela de Grade 2 - Ênfase 11"/>
    <w:basedOn w:val="Tabelanormal"/>
    <w:uiPriority w:val="47"/>
    <w:qFormat/>
    <w:tblPr>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SombreamentoClaro-nfase1">
    <w:name w:val="Light Shading Accent 1"/>
    <w:basedOn w:val="Tabelanormal"/>
    <w:uiPriority w:val="60"/>
    <w:rPr>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
    <w:name w:val="Light Shading"/>
    <w:basedOn w:val="Tabelanormal"/>
    <w:uiPriority w:val="60"/>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deGrade1Clara-nfase41">
    <w:name w:val="Tabela de Grade 1 Clara - Ênfase 41"/>
    <w:basedOn w:val="Tabelanormal"/>
    <w:uiPriority w:val="46"/>
    <w:qFormat/>
    <w:tblPr>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eladeGrade2-nfase41">
    <w:name w:val="Tabela de Grade 2 - Ênfase 41"/>
    <w:basedOn w:val="Tabelanormal"/>
    <w:uiPriority w:val="47"/>
    <w:tblPr>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A3D34C-85CD-4429-A2C4-AA7725AF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2560</Words>
  <Characters>13828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andraderafaela16@gmail.com</cp:lastModifiedBy>
  <cp:revision>2</cp:revision>
  <dcterms:created xsi:type="dcterms:W3CDTF">2021-06-24T21:51:00Z</dcterms:created>
  <dcterms:modified xsi:type="dcterms:W3CDTF">2021-06-24T21:51:00Z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1046-11.2.0.10152</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 6th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10th edition - Harvard</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http://www.zotero.org/styles/modern-humanities-research-association</vt:lpwstr>
  </property>
  <property fmtid="{D5CDD505-2E9C-101B-9397-08002B2CF9AE}" pid="14" name="Mendeley Recent Style Name 5_1">
    <vt:lpwstr>Modern Humanities Research Association 3rd edition (note with bibliography)</vt:lpwstr>
  </property>
  <property fmtid="{D5CDD505-2E9C-101B-9397-08002B2CF9AE}" pid="15" name="Mendeley Recent Style Id 6_1">
    <vt:lpwstr>http://www.zotero.org/styles/modern-language-association</vt:lpwstr>
  </property>
  <property fmtid="{D5CDD505-2E9C-101B-9397-08002B2CF9AE}" pid="16" name="Mendeley Recent Style Name 6_1">
    <vt:lpwstr>Modern Language Association 8th edition</vt:lpwstr>
  </property>
  <property fmtid="{D5CDD505-2E9C-101B-9397-08002B2CF9AE}" pid="17" name="Mendeley Recent Style Id 7_1">
    <vt:lpwstr>http://www.zotero.org/styles/nature</vt:lpwstr>
  </property>
  <property fmtid="{D5CDD505-2E9C-101B-9397-08002B2CF9AE}" pid="18" name="Mendeley Recent Style Name 7_1">
    <vt:lpwstr>Nature</vt:lpwstr>
  </property>
  <property fmtid="{D5CDD505-2E9C-101B-9397-08002B2CF9AE}" pid="19" name="Mendeley Recent Style Id 8_1">
    <vt:lpwstr>http://www.zotero.org/styles/associacao-brasileira-de-normas-tecnicas-ufmg-face-initials</vt:lpwstr>
  </property>
  <property fmtid="{D5CDD505-2E9C-101B-9397-08002B2CF9AE}" pid="20" name="Mendeley Recent Style Name 8_1">
    <vt:lpwstr>Universidade Federal de Minas Gerais - Faculdade de Ciências Econômicas - ABNT (autoria abreviada) (Portuguese - Brazil)</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fd455547-85dc-3763-b3b7-4bb3fabb66c1</vt:lpwstr>
  </property>
  <property fmtid="{D5CDD505-2E9C-101B-9397-08002B2CF9AE}" pid="25" name="Mendeley Citation Style_1">
    <vt:lpwstr>http://www.zotero.org/styles/associacao-brasileira-de-normas-tecnicas-ufmg-face-initials</vt:lpwstr>
  </property>
</Properties>
</file>