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2AA86" w14:textId="77777777" w:rsidR="0064586B" w:rsidRDefault="009C2829">
      <w:r>
        <w:rPr>
          <w:noProof/>
          <w:lang w:eastAsia="pt-BR"/>
        </w:rPr>
        <mc:AlternateContent>
          <mc:Choice Requires="wps">
            <w:drawing>
              <wp:anchor distT="0" distB="0" distL="114300" distR="114300" simplePos="0" relativeHeight="251665408" behindDoc="0" locked="0" layoutInCell="1" allowOverlap="1" wp14:anchorId="3C54DD7A" wp14:editId="1EC16278">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0CB94A47"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D0B283"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8"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w:t>
                      </w:r>
                      <w:proofErr w:type="spellStart"/>
                      <w:r w:rsidRPr="009C2829">
                        <w:rPr>
                          <w:b/>
                          <w:color w:val="FFFFFF" w:themeColor="background1"/>
                          <w:sz w:val="16"/>
                          <w:szCs w:val="16"/>
                        </w:rPr>
                        <w:t>editorapasteur</w:t>
                      </w:r>
                      <w:proofErr w:type="spellEnd"/>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7BEB6491" wp14:editId="107DF9C0">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10"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4BE303F4" wp14:editId="5F1B933C">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69AFB131" w14:textId="6009862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FFFFFF" w:themeColor="background1"/>
                                <w:sz w:val="20"/>
                                <w:szCs w:val="20"/>
                              </w:rPr>
                              <w:t>:</w:t>
                            </w:r>
                          </w:p>
                          <w:p w14:paraId="142D9472" w14:textId="34525A49" w:rsidR="00B36A7F" w:rsidRPr="00B36A7F" w:rsidRDefault="00B1437E" w:rsidP="00B36A7F">
                            <w:pPr>
                              <w:jc w:val="both"/>
                              <w:rPr>
                                <w:rFonts w:ascii="Bookman Old Style" w:hAnsi="Bookman Old Style" w:cs="Liberation Serif"/>
                                <w:color w:val="FFFFFF" w:themeColor="background1"/>
                                <w:sz w:val="20"/>
                                <w:szCs w:val="20"/>
                              </w:rPr>
                            </w:pPr>
                            <w:r w:rsidRPr="00B1437E">
                              <w:rPr>
                                <w:rFonts w:ascii="Bookman Old Style" w:hAnsi="Bookman Old Style" w:cs="Liberation Serif"/>
                                <w:color w:val="FFFFFF" w:themeColor="background1"/>
                                <w:sz w:val="20"/>
                                <w:szCs w:val="20"/>
                              </w:rPr>
                              <w:t>A endocardite infecciosa (EI) afeta o endotélio cardíaco e têm 3-10 casos a cada 100.000 pessoas/por ano. Acometia mais adultos cardiopatas ou imunossuprimidos, mas, entre 2000 e 2013 aumentou 7-12.1% as hospitalizações entre jovens devido ao uso de materiais contaminados.</w:t>
                            </w:r>
                          </w:p>
                          <w:p w14:paraId="33A4A59E" w14:textId="2CC2FE2F"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w:t>
                            </w:r>
                          </w:p>
                          <w:p w14:paraId="4E726DD2" w14:textId="3DD9D12E" w:rsidR="00B36A7F" w:rsidRPr="00B36A7F" w:rsidRDefault="00B1437E" w:rsidP="00B36A7F">
                            <w:pPr>
                              <w:jc w:val="both"/>
                              <w:rPr>
                                <w:rFonts w:ascii="Bookman Old Style" w:hAnsi="Bookman Old Style" w:cs="Liberation Serif"/>
                                <w:color w:val="FFFFFF" w:themeColor="background1"/>
                                <w:sz w:val="20"/>
                                <w:szCs w:val="20"/>
                              </w:rPr>
                            </w:pPr>
                            <w:r w:rsidRPr="00B1437E">
                              <w:rPr>
                                <w:rFonts w:ascii="Bookman Old Style" w:hAnsi="Bookman Old Style" w:cs="Liberation Serif"/>
                                <w:color w:val="FFFFFF" w:themeColor="background1"/>
                                <w:sz w:val="20"/>
                                <w:szCs w:val="20"/>
                              </w:rPr>
                              <w:t xml:space="preserve">Avaliar a propensão de usuários de drogas ilícitas ou injetáveis para o desenvolvimento de endocardite infecciosa. </w:t>
                            </w:r>
                          </w:p>
                          <w:p w14:paraId="16EBFFD0" w14:textId="341BDAEE"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w:t>
                            </w:r>
                          </w:p>
                          <w:p w14:paraId="4DB02BC2" w14:textId="19EF26F4" w:rsidR="00B1437E" w:rsidRDefault="00B1437E" w:rsidP="00B36A7F">
                            <w:pPr>
                              <w:jc w:val="both"/>
                              <w:rPr>
                                <w:rFonts w:ascii="Bookman Old Style" w:hAnsi="Bookman Old Style" w:cs="Liberation Serif"/>
                                <w:color w:val="FFFFFF" w:themeColor="background1"/>
                                <w:sz w:val="20"/>
                                <w:szCs w:val="20"/>
                              </w:rPr>
                            </w:pPr>
                            <w:r w:rsidRPr="00B1437E">
                              <w:rPr>
                                <w:rFonts w:ascii="Bookman Old Style" w:hAnsi="Bookman Old Style" w:cs="Liberation Serif"/>
                                <w:color w:val="FFFFFF" w:themeColor="background1"/>
                                <w:sz w:val="20"/>
                                <w:szCs w:val="20"/>
                              </w:rPr>
                              <w:t xml:space="preserve">A pesquisa foi feita a partir da base de dados </w:t>
                            </w:r>
                            <w:proofErr w:type="spellStart"/>
                            <w:r w:rsidRPr="00B1437E">
                              <w:rPr>
                                <w:rFonts w:ascii="Bookman Old Style" w:hAnsi="Bookman Old Style" w:cs="Liberation Serif"/>
                                <w:color w:val="FFFFFF" w:themeColor="background1"/>
                                <w:sz w:val="20"/>
                                <w:szCs w:val="20"/>
                              </w:rPr>
                              <w:t>Pubmed</w:t>
                            </w:r>
                            <w:proofErr w:type="spellEnd"/>
                            <w:r w:rsidRPr="00B1437E">
                              <w:rPr>
                                <w:rFonts w:ascii="Bookman Old Style" w:hAnsi="Bookman Old Style" w:cs="Liberation Serif"/>
                                <w:color w:val="FFFFFF" w:themeColor="background1"/>
                                <w:sz w:val="20"/>
                                <w:szCs w:val="20"/>
                              </w:rPr>
                              <w:t xml:space="preserve">, nos últimos 10 anos, por meio dos descritores: </w:t>
                            </w:r>
                            <w:proofErr w:type="spellStart"/>
                            <w:r w:rsidRPr="00B1437E">
                              <w:rPr>
                                <w:rFonts w:ascii="Bookman Old Style" w:hAnsi="Bookman Old Style" w:cs="Liberation Serif"/>
                                <w:color w:val="FFFFFF" w:themeColor="background1"/>
                                <w:sz w:val="20"/>
                                <w:szCs w:val="20"/>
                              </w:rPr>
                              <w:t>Infective</w:t>
                            </w:r>
                            <w:proofErr w:type="spellEnd"/>
                            <w:r w:rsidRPr="00B1437E">
                              <w:rPr>
                                <w:rFonts w:ascii="Bookman Old Style" w:hAnsi="Bookman Old Style" w:cs="Liberation Serif"/>
                                <w:color w:val="FFFFFF" w:themeColor="background1"/>
                                <w:sz w:val="20"/>
                                <w:szCs w:val="20"/>
                              </w:rPr>
                              <w:t xml:space="preserve"> </w:t>
                            </w:r>
                            <w:proofErr w:type="spellStart"/>
                            <w:r w:rsidRPr="00B1437E">
                              <w:rPr>
                                <w:rFonts w:ascii="Bookman Old Style" w:hAnsi="Bookman Old Style" w:cs="Liberation Serif"/>
                                <w:color w:val="FFFFFF" w:themeColor="background1"/>
                                <w:sz w:val="20"/>
                                <w:szCs w:val="20"/>
                              </w:rPr>
                              <w:t>Endocarditis</w:t>
                            </w:r>
                            <w:proofErr w:type="spellEnd"/>
                            <w:r w:rsidRPr="00B1437E">
                              <w:rPr>
                                <w:rFonts w:ascii="Bookman Old Style" w:hAnsi="Bookman Old Style" w:cs="Liberation Serif"/>
                                <w:color w:val="FFFFFF" w:themeColor="background1"/>
                                <w:sz w:val="20"/>
                                <w:szCs w:val="20"/>
                              </w:rPr>
                              <w:t xml:space="preserve"> AND </w:t>
                            </w:r>
                            <w:proofErr w:type="spellStart"/>
                            <w:r w:rsidRPr="00B1437E">
                              <w:rPr>
                                <w:rFonts w:ascii="Bookman Old Style" w:hAnsi="Bookman Old Style" w:cs="Liberation Serif"/>
                                <w:color w:val="FFFFFF" w:themeColor="background1"/>
                                <w:sz w:val="20"/>
                                <w:szCs w:val="20"/>
                              </w:rPr>
                              <w:t>Illicit</w:t>
                            </w:r>
                            <w:proofErr w:type="spellEnd"/>
                            <w:r w:rsidRPr="00B1437E">
                              <w:rPr>
                                <w:rFonts w:ascii="Bookman Old Style" w:hAnsi="Bookman Old Style" w:cs="Liberation Serif"/>
                                <w:color w:val="FFFFFF" w:themeColor="background1"/>
                                <w:sz w:val="20"/>
                                <w:szCs w:val="20"/>
                              </w:rPr>
                              <w:t xml:space="preserve"> </w:t>
                            </w:r>
                            <w:proofErr w:type="spellStart"/>
                            <w:r w:rsidRPr="00B1437E">
                              <w:rPr>
                                <w:rFonts w:ascii="Bookman Old Style" w:hAnsi="Bookman Old Style" w:cs="Liberation Serif"/>
                                <w:color w:val="FFFFFF" w:themeColor="background1"/>
                                <w:sz w:val="20"/>
                                <w:szCs w:val="20"/>
                              </w:rPr>
                              <w:t>Drug</w:t>
                            </w:r>
                            <w:proofErr w:type="spellEnd"/>
                            <w:r w:rsidRPr="00B1437E">
                              <w:rPr>
                                <w:rFonts w:ascii="Bookman Old Style" w:hAnsi="Bookman Old Style" w:cs="Liberation Serif"/>
                                <w:color w:val="FFFFFF" w:themeColor="background1"/>
                                <w:sz w:val="20"/>
                                <w:szCs w:val="20"/>
                              </w:rPr>
                              <w:t xml:space="preserve"> OR </w:t>
                            </w:r>
                            <w:proofErr w:type="spellStart"/>
                            <w:r w:rsidRPr="00B1437E">
                              <w:rPr>
                                <w:rFonts w:ascii="Bookman Old Style" w:hAnsi="Bookman Old Style" w:cs="Liberation Serif"/>
                                <w:color w:val="FFFFFF" w:themeColor="background1"/>
                                <w:sz w:val="20"/>
                                <w:szCs w:val="20"/>
                              </w:rPr>
                              <w:t>Intravenous</w:t>
                            </w:r>
                            <w:proofErr w:type="spellEnd"/>
                            <w:r w:rsidRPr="00B1437E">
                              <w:rPr>
                                <w:rFonts w:ascii="Bookman Old Style" w:hAnsi="Bookman Old Style" w:cs="Liberation Serif"/>
                                <w:color w:val="FFFFFF" w:themeColor="background1"/>
                                <w:sz w:val="20"/>
                                <w:szCs w:val="20"/>
                              </w:rPr>
                              <w:t xml:space="preserve"> </w:t>
                            </w:r>
                            <w:proofErr w:type="spellStart"/>
                            <w:r w:rsidRPr="00B1437E">
                              <w:rPr>
                                <w:rFonts w:ascii="Bookman Old Style" w:hAnsi="Bookman Old Style" w:cs="Liberation Serif"/>
                                <w:color w:val="FFFFFF" w:themeColor="background1"/>
                                <w:sz w:val="20"/>
                                <w:szCs w:val="20"/>
                              </w:rPr>
                              <w:t>Drug</w:t>
                            </w:r>
                            <w:proofErr w:type="spellEnd"/>
                            <w:r w:rsidRPr="00B1437E">
                              <w:rPr>
                                <w:rFonts w:ascii="Bookman Old Style" w:hAnsi="Bookman Old Style" w:cs="Liberation Serif"/>
                                <w:color w:val="FFFFFF" w:themeColor="background1"/>
                                <w:sz w:val="20"/>
                                <w:szCs w:val="20"/>
                              </w:rPr>
                              <w:t>. Foram incluídos ensaio clínico randomizado, meta-análise e revisão sistemática, em inglês e português, selecionando 32 artigos.</w:t>
                            </w:r>
                          </w:p>
                          <w:p w14:paraId="7830B09B" w14:textId="234CE466"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w:t>
                            </w:r>
                          </w:p>
                          <w:p w14:paraId="5B115092" w14:textId="7FFA8D43" w:rsidR="001B7B25" w:rsidRDefault="001B7B25" w:rsidP="00B36A7F">
                            <w:pPr>
                              <w:jc w:val="both"/>
                              <w:rPr>
                                <w:rFonts w:ascii="Bookman Old Style" w:hAnsi="Bookman Old Style" w:cs="Liberation Serif"/>
                                <w:color w:val="FFFFFF" w:themeColor="background1"/>
                                <w:sz w:val="20"/>
                                <w:szCs w:val="20"/>
                              </w:rPr>
                            </w:pPr>
                            <w:r w:rsidRPr="001B7B25">
                              <w:rPr>
                                <w:rFonts w:ascii="Bookman Old Style" w:hAnsi="Bookman Old Style" w:cs="Liberation Serif"/>
                                <w:color w:val="FFFFFF" w:themeColor="background1"/>
                                <w:sz w:val="20"/>
                                <w:szCs w:val="20"/>
                              </w:rPr>
                              <w:t xml:space="preserve">Pacientes que usam drogas intravenosas ilícitas, nosocomiais ou em hemodiálise, estão susceptíveis ao desenvolvimento de Endocardite Infecciosa (EI), o que contribuiu para a mudança de perfil dos portadores da doença, acometendo homens jovens. Estudos demonstram que a válvula tricúspide é a mais afetada, sendo que suas complicações, nesse grupo de indivíduos, representam um aumento de 47% de chance de evoluir a óbito. Isso se deve ao </w:t>
                            </w:r>
                            <w:proofErr w:type="spellStart"/>
                            <w:r w:rsidRPr="001B7B25">
                              <w:rPr>
                                <w:rFonts w:ascii="Bookman Old Style" w:hAnsi="Bookman Old Style" w:cs="Liberation Serif"/>
                                <w:i/>
                                <w:iCs/>
                                <w:color w:val="FFFFFF" w:themeColor="background1"/>
                                <w:sz w:val="20"/>
                                <w:szCs w:val="20"/>
                              </w:rPr>
                              <w:t>Staphylococcus</w:t>
                            </w:r>
                            <w:proofErr w:type="spellEnd"/>
                            <w:r w:rsidRPr="001B7B25">
                              <w:rPr>
                                <w:rFonts w:ascii="Bookman Old Style" w:hAnsi="Bookman Old Style" w:cs="Liberation Serif"/>
                                <w:i/>
                                <w:iCs/>
                                <w:color w:val="FFFFFF" w:themeColor="background1"/>
                                <w:sz w:val="20"/>
                                <w:szCs w:val="20"/>
                              </w:rPr>
                              <w:t xml:space="preserve"> aureus</w:t>
                            </w:r>
                            <w:r w:rsidRPr="001B7B25">
                              <w:rPr>
                                <w:rFonts w:ascii="Bookman Old Style" w:hAnsi="Bookman Old Style" w:cs="Liberation Serif"/>
                                <w:color w:val="FFFFFF" w:themeColor="background1"/>
                                <w:sz w:val="20"/>
                                <w:szCs w:val="20"/>
                              </w:rPr>
                              <w:t>, agente associado e responsável pela evolução aguda do quadro clínico. Os pacientes que adquiriram EI primária dessa maneira, podem retornar ao centro de saúde com quadros secundários de endocardite em caso de permanência dos fatores de risco. Dentre os enfermos, 35% são direcionados ao tratamento cirúrgico, deste, a mortalidade é de 10%.</w:t>
                            </w:r>
                          </w:p>
                          <w:p w14:paraId="74949D6D" w14:textId="479AD489"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p>
                          <w:p w14:paraId="04684A93" w14:textId="63FEFEE5" w:rsidR="00B36A7F" w:rsidRPr="00B36A7F" w:rsidRDefault="001B7B25" w:rsidP="00B36A7F">
                            <w:pPr>
                              <w:jc w:val="both"/>
                              <w:rPr>
                                <w:rFonts w:ascii="Bookman Old Style" w:hAnsi="Bookman Old Style" w:cs="Liberation Serif"/>
                                <w:color w:val="FFFFFF" w:themeColor="background1"/>
                                <w:sz w:val="20"/>
                                <w:szCs w:val="20"/>
                              </w:rPr>
                            </w:pPr>
                            <w:r w:rsidRPr="001B7B25">
                              <w:rPr>
                                <w:rFonts w:ascii="Bookman Old Style" w:hAnsi="Bookman Old Style" w:cs="Liberation Serif"/>
                                <w:color w:val="FFFFFF" w:themeColor="background1"/>
                                <w:sz w:val="20"/>
                                <w:szCs w:val="20"/>
                              </w:rPr>
                              <w:t>Portanto, usuários de drogas intravenosas ou ilícitas, tornam-se pacientes de alerta para o acometimento de endocardite infecciosa, independente de cardiopatias ou idades avançadas.</w:t>
                            </w:r>
                          </w:p>
                          <w:p w14:paraId="30019324"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47768639" w14:textId="6C542D7E" w:rsidR="00B36A7F" w:rsidRDefault="00B63AA6"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Endocardite infecciosa. Drogas intravenosas. Drogas ilícitas.</w:t>
                            </w:r>
                          </w:p>
                          <w:p w14:paraId="290810C0"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357759A3"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3EB68B6C" w14:textId="4BAFFA35"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sidR="00B63AA6">
                              <w:rPr>
                                <w:rFonts w:ascii="Bookman Old Style" w:hAnsi="Bookman Old Style" w:cs="Liberation Serif"/>
                                <w:color w:val="FFFFFF" w:themeColor="background1"/>
                                <w:sz w:val="16"/>
                                <w:szCs w:val="16"/>
                              </w:rPr>
                              <w:t>Centro Universitário Atenas Paracatu</w:t>
                            </w:r>
                            <w:r w:rsidRPr="00B36A7F">
                              <w:rPr>
                                <w:rFonts w:ascii="Bookman Old Style" w:hAnsi="Bookman Old Style" w:cs="Liberation Serif"/>
                                <w:color w:val="FFFFFF" w:themeColor="background1"/>
                                <w:sz w:val="16"/>
                                <w:szCs w:val="16"/>
                              </w:rPr>
                              <w:t xml:space="preserve">, </w:t>
                            </w:r>
                            <w:r w:rsidR="00B63AA6">
                              <w:rPr>
                                <w:rFonts w:ascii="Bookman Old Style" w:hAnsi="Bookman Old Style" w:cs="Liberation Serif"/>
                                <w:color w:val="FFFFFF" w:themeColor="background1"/>
                                <w:sz w:val="16"/>
                                <w:szCs w:val="16"/>
                              </w:rPr>
                              <w:t>MG</w:t>
                            </w:r>
                          </w:p>
                          <w:p w14:paraId="7C0F7377" w14:textId="3A1416C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Centro Universitário </w:t>
                            </w:r>
                            <w:r w:rsidR="00B63AA6">
                              <w:rPr>
                                <w:rFonts w:ascii="Bookman Old Style" w:hAnsi="Bookman Old Style" w:cs="Liberation Serif"/>
                                <w:color w:val="FFFFFF" w:themeColor="background1"/>
                                <w:sz w:val="16"/>
                                <w:szCs w:val="16"/>
                              </w:rPr>
                              <w:t>Atenas Paracatu</w:t>
                            </w:r>
                            <w:r w:rsidRPr="00B36A7F">
                              <w:rPr>
                                <w:rFonts w:ascii="Bookman Old Style" w:hAnsi="Bookman Old Style" w:cs="Liberation Serif"/>
                                <w:color w:val="FFFFFF" w:themeColor="background1"/>
                                <w:sz w:val="16"/>
                                <w:szCs w:val="16"/>
                              </w:rPr>
                              <w:t xml:space="preserve">, </w:t>
                            </w:r>
                            <w:r w:rsidR="00B63AA6">
                              <w:rPr>
                                <w:rFonts w:ascii="Bookman Old Style" w:hAnsi="Bookman Old Style" w:cs="Liberation Serif"/>
                                <w:color w:val="FFFFFF" w:themeColor="background1"/>
                                <w:sz w:val="16"/>
                                <w:szCs w:val="16"/>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E303F4" id="_x0000_t202" coordsize="21600,21600" o:spt="202" path="m,l,21600r21600,l21600,xe">
                <v:stroke joinstyle="miter"/>
                <v:path gradientshapeok="t" o:connecttype="rect"/>
              </v:shapetype>
              <v:shape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14:paraId="69AFB131" w14:textId="6009862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FFFFFF" w:themeColor="background1"/>
                          <w:sz w:val="20"/>
                          <w:szCs w:val="20"/>
                        </w:rPr>
                        <w:t>:</w:t>
                      </w:r>
                    </w:p>
                    <w:p w14:paraId="142D9472" w14:textId="34525A49" w:rsidR="00B36A7F" w:rsidRPr="00B36A7F" w:rsidRDefault="00B1437E" w:rsidP="00B36A7F">
                      <w:pPr>
                        <w:jc w:val="both"/>
                        <w:rPr>
                          <w:rFonts w:ascii="Bookman Old Style" w:hAnsi="Bookman Old Style" w:cs="Liberation Serif"/>
                          <w:color w:val="FFFFFF" w:themeColor="background1"/>
                          <w:sz w:val="20"/>
                          <w:szCs w:val="20"/>
                        </w:rPr>
                      </w:pPr>
                      <w:r w:rsidRPr="00B1437E">
                        <w:rPr>
                          <w:rFonts w:ascii="Bookman Old Style" w:hAnsi="Bookman Old Style" w:cs="Liberation Serif"/>
                          <w:color w:val="FFFFFF" w:themeColor="background1"/>
                          <w:sz w:val="20"/>
                          <w:szCs w:val="20"/>
                        </w:rPr>
                        <w:t>A endocardite infecciosa (EI) afeta o endotélio cardíaco e têm 3-10 casos a cada 100.000 pessoas/por ano. Acometia mais adultos cardiopatas ou imunossuprimidos, mas, entre 2000 e 2013 aumentou 7-12.1% as hospitalizações entre jovens devido ao uso de materiais contaminados.</w:t>
                      </w:r>
                    </w:p>
                    <w:p w14:paraId="33A4A59E" w14:textId="2CC2FE2F"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w:t>
                      </w:r>
                    </w:p>
                    <w:p w14:paraId="4E726DD2" w14:textId="3DD9D12E" w:rsidR="00B36A7F" w:rsidRPr="00B36A7F" w:rsidRDefault="00B1437E" w:rsidP="00B36A7F">
                      <w:pPr>
                        <w:jc w:val="both"/>
                        <w:rPr>
                          <w:rFonts w:ascii="Bookman Old Style" w:hAnsi="Bookman Old Style" w:cs="Liberation Serif"/>
                          <w:color w:val="FFFFFF" w:themeColor="background1"/>
                          <w:sz w:val="20"/>
                          <w:szCs w:val="20"/>
                        </w:rPr>
                      </w:pPr>
                      <w:r w:rsidRPr="00B1437E">
                        <w:rPr>
                          <w:rFonts w:ascii="Bookman Old Style" w:hAnsi="Bookman Old Style" w:cs="Liberation Serif"/>
                          <w:color w:val="FFFFFF" w:themeColor="background1"/>
                          <w:sz w:val="20"/>
                          <w:szCs w:val="20"/>
                        </w:rPr>
                        <w:t xml:space="preserve">Avaliar a propensão de usuários de drogas ilícitas ou injetáveis para o desenvolvimento de endocardite infecciosa. </w:t>
                      </w:r>
                    </w:p>
                    <w:p w14:paraId="16EBFFD0" w14:textId="341BDAEE"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w:t>
                      </w:r>
                    </w:p>
                    <w:p w14:paraId="4DB02BC2" w14:textId="19EF26F4" w:rsidR="00B1437E" w:rsidRDefault="00B1437E" w:rsidP="00B36A7F">
                      <w:pPr>
                        <w:jc w:val="both"/>
                        <w:rPr>
                          <w:rFonts w:ascii="Bookman Old Style" w:hAnsi="Bookman Old Style" w:cs="Liberation Serif"/>
                          <w:color w:val="FFFFFF" w:themeColor="background1"/>
                          <w:sz w:val="20"/>
                          <w:szCs w:val="20"/>
                        </w:rPr>
                      </w:pPr>
                      <w:r w:rsidRPr="00B1437E">
                        <w:rPr>
                          <w:rFonts w:ascii="Bookman Old Style" w:hAnsi="Bookman Old Style" w:cs="Liberation Serif"/>
                          <w:color w:val="FFFFFF" w:themeColor="background1"/>
                          <w:sz w:val="20"/>
                          <w:szCs w:val="20"/>
                        </w:rPr>
                        <w:t xml:space="preserve">A pesquisa foi feita a partir da base de dados </w:t>
                      </w:r>
                      <w:proofErr w:type="spellStart"/>
                      <w:r w:rsidRPr="00B1437E">
                        <w:rPr>
                          <w:rFonts w:ascii="Bookman Old Style" w:hAnsi="Bookman Old Style" w:cs="Liberation Serif"/>
                          <w:color w:val="FFFFFF" w:themeColor="background1"/>
                          <w:sz w:val="20"/>
                          <w:szCs w:val="20"/>
                        </w:rPr>
                        <w:t>Pubmed</w:t>
                      </w:r>
                      <w:proofErr w:type="spellEnd"/>
                      <w:r w:rsidRPr="00B1437E">
                        <w:rPr>
                          <w:rFonts w:ascii="Bookman Old Style" w:hAnsi="Bookman Old Style" w:cs="Liberation Serif"/>
                          <w:color w:val="FFFFFF" w:themeColor="background1"/>
                          <w:sz w:val="20"/>
                          <w:szCs w:val="20"/>
                        </w:rPr>
                        <w:t xml:space="preserve">, nos últimos 10 anos, por meio dos descritores: </w:t>
                      </w:r>
                      <w:proofErr w:type="spellStart"/>
                      <w:r w:rsidRPr="00B1437E">
                        <w:rPr>
                          <w:rFonts w:ascii="Bookman Old Style" w:hAnsi="Bookman Old Style" w:cs="Liberation Serif"/>
                          <w:color w:val="FFFFFF" w:themeColor="background1"/>
                          <w:sz w:val="20"/>
                          <w:szCs w:val="20"/>
                        </w:rPr>
                        <w:t>Infective</w:t>
                      </w:r>
                      <w:proofErr w:type="spellEnd"/>
                      <w:r w:rsidRPr="00B1437E">
                        <w:rPr>
                          <w:rFonts w:ascii="Bookman Old Style" w:hAnsi="Bookman Old Style" w:cs="Liberation Serif"/>
                          <w:color w:val="FFFFFF" w:themeColor="background1"/>
                          <w:sz w:val="20"/>
                          <w:szCs w:val="20"/>
                        </w:rPr>
                        <w:t xml:space="preserve"> </w:t>
                      </w:r>
                      <w:proofErr w:type="spellStart"/>
                      <w:r w:rsidRPr="00B1437E">
                        <w:rPr>
                          <w:rFonts w:ascii="Bookman Old Style" w:hAnsi="Bookman Old Style" w:cs="Liberation Serif"/>
                          <w:color w:val="FFFFFF" w:themeColor="background1"/>
                          <w:sz w:val="20"/>
                          <w:szCs w:val="20"/>
                        </w:rPr>
                        <w:t>Endocarditis</w:t>
                      </w:r>
                      <w:proofErr w:type="spellEnd"/>
                      <w:r w:rsidRPr="00B1437E">
                        <w:rPr>
                          <w:rFonts w:ascii="Bookman Old Style" w:hAnsi="Bookman Old Style" w:cs="Liberation Serif"/>
                          <w:color w:val="FFFFFF" w:themeColor="background1"/>
                          <w:sz w:val="20"/>
                          <w:szCs w:val="20"/>
                        </w:rPr>
                        <w:t xml:space="preserve"> AND </w:t>
                      </w:r>
                      <w:proofErr w:type="spellStart"/>
                      <w:r w:rsidRPr="00B1437E">
                        <w:rPr>
                          <w:rFonts w:ascii="Bookman Old Style" w:hAnsi="Bookman Old Style" w:cs="Liberation Serif"/>
                          <w:color w:val="FFFFFF" w:themeColor="background1"/>
                          <w:sz w:val="20"/>
                          <w:szCs w:val="20"/>
                        </w:rPr>
                        <w:t>Illicit</w:t>
                      </w:r>
                      <w:proofErr w:type="spellEnd"/>
                      <w:r w:rsidRPr="00B1437E">
                        <w:rPr>
                          <w:rFonts w:ascii="Bookman Old Style" w:hAnsi="Bookman Old Style" w:cs="Liberation Serif"/>
                          <w:color w:val="FFFFFF" w:themeColor="background1"/>
                          <w:sz w:val="20"/>
                          <w:szCs w:val="20"/>
                        </w:rPr>
                        <w:t xml:space="preserve"> </w:t>
                      </w:r>
                      <w:proofErr w:type="spellStart"/>
                      <w:r w:rsidRPr="00B1437E">
                        <w:rPr>
                          <w:rFonts w:ascii="Bookman Old Style" w:hAnsi="Bookman Old Style" w:cs="Liberation Serif"/>
                          <w:color w:val="FFFFFF" w:themeColor="background1"/>
                          <w:sz w:val="20"/>
                          <w:szCs w:val="20"/>
                        </w:rPr>
                        <w:t>Drug</w:t>
                      </w:r>
                      <w:proofErr w:type="spellEnd"/>
                      <w:r w:rsidRPr="00B1437E">
                        <w:rPr>
                          <w:rFonts w:ascii="Bookman Old Style" w:hAnsi="Bookman Old Style" w:cs="Liberation Serif"/>
                          <w:color w:val="FFFFFF" w:themeColor="background1"/>
                          <w:sz w:val="20"/>
                          <w:szCs w:val="20"/>
                        </w:rPr>
                        <w:t xml:space="preserve"> OR </w:t>
                      </w:r>
                      <w:proofErr w:type="spellStart"/>
                      <w:r w:rsidRPr="00B1437E">
                        <w:rPr>
                          <w:rFonts w:ascii="Bookman Old Style" w:hAnsi="Bookman Old Style" w:cs="Liberation Serif"/>
                          <w:color w:val="FFFFFF" w:themeColor="background1"/>
                          <w:sz w:val="20"/>
                          <w:szCs w:val="20"/>
                        </w:rPr>
                        <w:t>Intravenous</w:t>
                      </w:r>
                      <w:proofErr w:type="spellEnd"/>
                      <w:r w:rsidRPr="00B1437E">
                        <w:rPr>
                          <w:rFonts w:ascii="Bookman Old Style" w:hAnsi="Bookman Old Style" w:cs="Liberation Serif"/>
                          <w:color w:val="FFFFFF" w:themeColor="background1"/>
                          <w:sz w:val="20"/>
                          <w:szCs w:val="20"/>
                        </w:rPr>
                        <w:t xml:space="preserve"> </w:t>
                      </w:r>
                      <w:proofErr w:type="spellStart"/>
                      <w:r w:rsidRPr="00B1437E">
                        <w:rPr>
                          <w:rFonts w:ascii="Bookman Old Style" w:hAnsi="Bookman Old Style" w:cs="Liberation Serif"/>
                          <w:color w:val="FFFFFF" w:themeColor="background1"/>
                          <w:sz w:val="20"/>
                          <w:szCs w:val="20"/>
                        </w:rPr>
                        <w:t>Drug</w:t>
                      </w:r>
                      <w:proofErr w:type="spellEnd"/>
                      <w:r w:rsidRPr="00B1437E">
                        <w:rPr>
                          <w:rFonts w:ascii="Bookman Old Style" w:hAnsi="Bookman Old Style" w:cs="Liberation Serif"/>
                          <w:color w:val="FFFFFF" w:themeColor="background1"/>
                          <w:sz w:val="20"/>
                          <w:szCs w:val="20"/>
                        </w:rPr>
                        <w:t>. Foram incluídos ensaio clínico randomizado, meta-análise e revisão sistemática, em inglês e português, selecionando 32 artigos.</w:t>
                      </w:r>
                    </w:p>
                    <w:p w14:paraId="7830B09B" w14:textId="234CE466"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w:t>
                      </w:r>
                    </w:p>
                    <w:p w14:paraId="5B115092" w14:textId="7FFA8D43" w:rsidR="001B7B25" w:rsidRDefault="001B7B25" w:rsidP="00B36A7F">
                      <w:pPr>
                        <w:jc w:val="both"/>
                        <w:rPr>
                          <w:rFonts w:ascii="Bookman Old Style" w:hAnsi="Bookman Old Style" w:cs="Liberation Serif"/>
                          <w:color w:val="FFFFFF" w:themeColor="background1"/>
                          <w:sz w:val="20"/>
                          <w:szCs w:val="20"/>
                        </w:rPr>
                      </w:pPr>
                      <w:r w:rsidRPr="001B7B25">
                        <w:rPr>
                          <w:rFonts w:ascii="Bookman Old Style" w:hAnsi="Bookman Old Style" w:cs="Liberation Serif"/>
                          <w:color w:val="FFFFFF" w:themeColor="background1"/>
                          <w:sz w:val="20"/>
                          <w:szCs w:val="20"/>
                        </w:rPr>
                        <w:t xml:space="preserve">Pacientes que usam drogas intravenosas ilícitas, nosocomiais ou em hemodiálise, estão susceptíveis ao desenvolvimento de Endocardite Infecciosa (EI), o que contribuiu para a mudança de perfil dos portadores da doença, acometendo homens jovens. Estudos demonstram que a válvula tricúspide é a mais afetada, sendo que suas complicações, nesse grupo de indivíduos, representam um aumento de 47% de chance de evoluir a óbito. Isso se deve ao </w:t>
                      </w:r>
                      <w:proofErr w:type="spellStart"/>
                      <w:r w:rsidRPr="001B7B25">
                        <w:rPr>
                          <w:rFonts w:ascii="Bookman Old Style" w:hAnsi="Bookman Old Style" w:cs="Liberation Serif"/>
                          <w:i/>
                          <w:iCs/>
                          <w:color w:val="FFFFFF" w:themeColor="background1"/>
                          <w:sz w:val="20"/>
                          <w:szCs w:val="20"/>
                        </w:rPr>
                        <w:t>Staphylococcus</w:t>
                      </w:r>
                      <w:proofErr w:type="spellEnd"/>
                      <w:r w:rsidRPr="001B7B25">
                        <w:rPr>
                          <w:rFonts w:ascii="Bookman Old Style" w:hAnsi="Bookman Old Style" w:cs="Liberation Serif"/>
                          <w:i/>
                          <w:iCs/>
                          <w:color w:val="FFFFFF" w:themeColor="background1"/>
                          <w:sz w:val="20"/>
                          <w:szCs w:val="20"/>
                        </w:rPr>
                        <w:t xml:space="preserve"> aureus</w:t>
                      </w:r>
                      <w:r w:rsidRPr="001B7B25">
                        <w:rPr>
                          <w:rFonts w:ascii="Bookman Old Style" w:hAnsi="Bookman Old Style" w:cs="Liberation Serif"/>
                          <w:color w:val="FFFFFF" w:themeColor="background1"/>
                          <w:sz w:val="20"/>
                          <w:szCs w:val="20"/>
                        </w:rPr>
                        <w:t>, agente associado e responsável pela evolução aguda do quadro clínico. Os pacientes que adquiriram EI primária dessa maneira, podem retornar ao centro de saúde com quadros secundários de endocardite em caso de permanência dos fatores de risco. Dentre os enfermos, 35% são direcionados ao tratamento cirúrgico, deste, a mortalidade é de 10%.</w:t>
                      </w:r>
                    </w:p>
                    <w:p w14:paraId="74949D6D" w14:textId="479AD489"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p>
                    <w:p w14:paraId="04684A93" w14:textId="63FEFEE5" w:rsidR="00B36A7F" w:rsidRPr="00B36A7F" w:rsidRDefault="001B7B25" w:rsidP="00B36A7F">
                      <w:pPr>
                        <w:jc w:val="both"/>
                        <w:rPr>
                          <w:rFonts w:ascii="Bookman Old Style" w:hAnsi="Bookman Old Style" w:cs="Liberation Serif"/>
                          <w:color w:val="FFFFFF" w:themeColor="background1"/>
                          <w:sz w:val="20"/>
                          <w:szCs w:val="20"/>
                        </w:rPr>
                      </w:pPr>
                      <w:r w:rsidRPr="001B7B25">
                        <w:rPr>
                          <w:rFonts w:ascii="Bookman Old Style" w:hAnsi="Bookman Old Style" w:cs="Liberation Serif"/>
                          <w:color w:val="FFFFFF" w:themeColor="background1"/>
                          <w:sz w:val="20"/>
                          <w:szCs w:val="20"/>
                        </w:rPr>
                        <w:t>Portanto, usuários de drogas intravenosas ou ilícitas, tornam-se pacientes de alerta para o acometimento de endocardite infecciosa, independente de cardiopatias ou idades avançadas.</w:t>
                      </w:r>
                    </w:p>
                    <w:p w14:paraId="30019324"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47768639" w14:textId="6C542D7E" w:rsidR="00B36A7F" w:rsidRDefault="00B63AA6"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Endocardite infecciosa. Drogas intravenosas. Drogas ilícitas.</w:t>
                      </w:r>
                    </w:p>
                    <w:p w14:paraId="290810C0"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357759A3"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3EB68B6C" w14:textId="4BAFFA35"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sidR="00B63AA6">
                        <w:rPr>
                          <w:rFonts w:ascii="Bookman Old Style" w:hAnsi="Bookman Old Style" w:cs="Liberation Serif"/>
                          <w:color w:val="FFFFFF" w:themeColor="background1"/>
                          <w:sz w:val="16"/>
                          <w:szCs w:val="16"/>
                        </w:rPr>
                        <w:t>Centro Universitário Atenas Paracatu</w:t>
                      </w:r>
                      <w:r w:rsidRPr="00B36A7F">
                        <w:rPr>
                          <w:rFonts w:ascii="Bookman Old Style" w:hAnsi="Bookman Old Style" w:cs="Liberation Serif"/>
                          <w:color w:val="FFFFFF" w:themeColor="background1"/>
                          <w:sz w:val="16"/>
                          <w:szCs w:val="16"/>
                        </w:rPr>
                        <w:t xml:space="preserve">, </w:t>
                      </w:r>
                      <w:r w:rsidR="00B63AA6">
                        <w:rPr>
                          <w:rFonts w:ascii="Bookman Old Style" w:hAnsi="Bookman Old Style" w:cs="Liberation Serif"/>
                          <w:color w:val="FFFFFF" w:themeColor="background1"/>
                          <w:sz w:val="16"/>
                          <w:szCs w:val="16"/>
                        </w:rPr>
                        <w:t>MG</w:t>
                      </w:r>
                    </w:p>
                    <w:p w14:paraId="7C0F7377" w14:textId="3A1416C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Centro Universitário </w:t>
                      </w:r>
                      <w:r w:rsidR="00B63AA6">
                        <w:rPr>
                          <w:rFonts w:ascii="Bookman Old Style" w:hAnsi="Bookman Old Style" w:cs="Liberation Serif"/>
                          <w:color w:val="FFFFFF" w:themeColor="background1"/>
                          <w:sz w:val="16"/>
                          <w:szCs w:val="16"/>
                        </w:rPr>
                        <w:t>Atenas Paracatu</w:t>
                      </w:r>
                      <w:r w:rsidRPr="00B36A7F">
                        <w:rPr>
                          <w:rFonts w:ascii="Bookman Old Style" w:hAnsi="Bookman Old Style" w:cs="Liberation Serif"/>
                          <w:color w:val="FFFFFF" w:themeColor="background1"/>
                          <w:sz w:val="16"/>
                          <w:szCs w:val="16"/>
                        </w:rPr>
                        <w:t xml:space="preserve">, </w:t>
                      </w:r>
                      <w:r w:rsidR="00B63AA6">
                        <w:rPr>
                          <w:rFonts w:ascii="Bookman Old Style" w:hAnsi="Bookman Old Style" w:cs="Liberation Serif"/>
                          <w:color w:val="FFFFFF" w:themeColor="background1"/>
                          <w:sz w:val="16"/>
                          <w:szCs w:val="16"/>
                        </w:rPr>
                        <w:t>MG</w:t>
                      </w: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3FEC5EB5" wp14:editId="69FA0D88">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2505AAF0" w14:textId="369291B3" w:rsidR="00B36A7F" w:rsidRPr="0012334B" w:rsidRDefault="00F27930"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Autores: </w:t>
                            </w:r>
                            <w:r w:rsidR="001B7B25" w:rsidRPr="001B7B25">
                              <w:rPr>
                                <w:rFonts w:ascii="Bookman Old Style" w:hAnsi="Bookman Old Style" w:cs="Liberation Serif"/>
                                <w:color w:val="FFFFFF" w:themeColor="background1"/>
                                <w:sz w:val="20"/>
                                <w:szCs w:val="20"/>
                              </w:rPr>
                              <w:t>Carolina Pereira Veloso</w:t>
                            </w:r>
                            <w:r w:rsidR="001B7B25">
                              <w:rPr>
                                <w:rFonts w:ascii="Bookman Old Style" w:hAnsi="Bookman Old Style" w:cs="Liberation Serif"/>
                                <w:color w:val="FFFFFF" w:themeColor="background1"/>
                                <w:sz w:val="20"/>
                                <w:szCs w:val="20"/>
                              </w:rPr>
                              <w:t>¹</w:t>
                            </w:r>
                            <w:r w:rsidR="001B7B25" w:rsidRPr="001B7B25">
                              <w:rPr>
                                <w:rFonts w:ascii="Bookman Old Style" w:hAnsi="Bookman Old Style" w:cs="Liberation Serif"/>
                                <w:color w:val="FFFFFF" w:themeColor="background1"/>
                                <w:sz w:val="20"/>
                                <w:szCs w:val="20"/>
                              </w:rPr>
                              <w:t>, Beatriz de Araújo Braz</w:t>
                            </w:r>
                            <w:r w:rsidR="001B7B25">
                              <w:rPr>
                                <w:rFonts w:ascii="Bookman Old Style" w:hAnsi="Bookman Old Style" w:cs="Liberation Serif"/>
                                <w:color w:val="FFFFFF" w:themeColor="background1"/>
                                <w:sz w:val="20"/>
                                <w:szCs w:val="20"/>
                              </w:rPr>
                              <w:t>¹</w:t>
                            </w:r>
                            <w:r w:rsidR="001B7B25" w:rsidRPr="001B7B25">
                              <w:rPr>
                                <w:rFonts w:ascii="Bookman Old Style" w:hAnsi="Bookman Old Style" w:cs="Liberation Serif"/>
                                <w:color w:val="FFFFFF" w:themeColor="background1"/>
                                <w:sz w:val="20"/>
                                <w:szCs w:val="20"/>
                              </w:rPr>
                              <w:t xml:space="preserve">, </w:t>
                            </w:r>
                            <w:proofErr w:type="spellStart"/>
                            <w:r w:rsidR="001B7B25" w:rsidRPr="001B7B25">
                              <w:rPr>
                                <w:rFonts w:ascii="Bookman Old Style" w:hAnsi="Bookman Old Style" w:cs="Liberation Serif"/>
                                <w:color w:val="FFFFFF" w:themeColor="background1"/>
                                <w:sz w:val="20"/>
                                <w:szCs w:val="20"/>
                              </w:rPr>
                              <w:t>Izabelly</w:t>
                            </w:r>
                            <w:proofErr w:type="spellEnd"/>
                            <w:r w:rsidR="001B7B25" w:rsidRPr="001B7B25">
                              <w:rPr>
                                <w:rFonts w:ascii="Bookman Old Style" w:hAnsi="Bookman Old Style" w:cs="Liberation Serif"/>
                                <w:color w:val="FFFFFF" w:themeColor="background1"/>
                                <w:sz w:val="20"/>
                                <w:szCs w:val="20"/>
                              </w:rPr>
                              <w:t xml:space="preserve"> </w:t>
                            </w:r>
                            <w:proofErr w:type="spellStart"/>
                            <w:r w:rsidR="001B7B25" w:rsidRPr="001B7B25">
                              <w:rPr>
                                <w:rFonts w:ascii="Bookman Old Style" w:hAnsi="Bookman Old Style" w:cs="Liberation Serif"/>
                                <w:color w:val="FFFFFF" w:themeColor="background1"/>
                                <w:sz w:val="20"/>
                                <w:szCs w:val="20"/>
                              </w:rPr>
                              <w:t>Lohanna</w:t>
                            </w:r>
                            <w:proofErr w:type="spellEnd"/>
                            <w:r w:rsidR="001B7B25" w:rsidRPr="001B7B25">
                              <w:rPr>
                                <w:rFonts w:ascii="Bookman Old Style" w:hAnsi="Bookman Old Style" w:cs="Liberation Serif"/>
                                <w:color w:val="FFFFFF" w:themeColor="background1"/>
                                <w:sz w:val="20"/>
                                <w:szCs w:val="20"/>
                              </w:rPr>
                              <w:t xml:space="preserve"> Maciel de Oliveira</w:t>
                            </w:r>
                            <w:r w:rsidR="001B7B25">
                              <w:rPr>
                                <w:rFonts w:ascii="Bookman Old Style" w:hAnsi="Bookman Old Style" w:cs="Liberation Serif"/>
                                <w:color w:val="FFFFFF" w:themeColor="background1"/>
                                <w:sz w:val="20"/>
                                <w:szCs w:val="20"/>
                              </w:rPr>
                              <w:t>¹</w:t>
                            </w:r>
                            <w:r w:rsidR="001B7B25" w:rsidRPr="001B7B25">
                              <w:rPr>
                                <w:rFonts w:ascii="Bookman Old Style" w:hAnsi="Bookman Old Style" w:cs="Liberation Serif"/>
                                <w:color w:val="FFFFFF" w:themeColor="background1"/>
                                <w:sz w:val="20"/>
                                <w:szCs w:val="20"/>
                              </w:rPr>
                              <w:t xml:space="preserve">, Talitha Araújo </w:t>
                            </w:r>
                            <w:proofErr w:type="spellStart"/>
                            <w:r w:rsidR="001B7B25" w:rsidRPr="001B7B25">
                              <w:rPr>
                                <w:rFonts w:ascii="Bookman Old Style" w:hAnsi="Bookman Old Style" w:cs="Liberation Serif"/>
                                <w:color w:val="FFFFFF" w:themeColor="background1"/>
                                <w:sz w:val="20"/>
                                <w:szCs w:val="20"/>
                              </w:rPr>
                              <w:t>Velôso</w:t>
                            </w:r>
                            <w:proofErr w:type="spellEnd"/>
                            <w:r w:rsidR="001B7B25" w:rsidRPr="001B7B25">
                              <w:rPr>
                                <w:rFonts w:ascii="Bookman Old Style" w:hAnsi="Bookman Old Style" w:cs="Liberation Serif"/>
                                <w:color w:val="FFFFFF" w:themeColor="background1"/>
                                <w:sz w:val="20"/>
                                <w:szCs w:val="20"/>
                              </w:rPr>
                              <w:t xml:space="preserve"> Faria</w:t>
                            </w:r>
                            <w:r w:rsidR="001B7B25">
                              <w:rPr>
                                <w:rFonts w:ascii="Bookman Old Style" w:hAnsi="Bookman Old Style" w:cs="Liberation Serif"/>
                                <w:color w:val="FFFFFF" w:themeColor="background1"/>
                                <w:sz w:val="20"/>
                                <w:szCs w:val="20"/>
                              </w:rPr>
                              <w:t>²</w:t>
                            </w:r>
                            <w:r w:rsidR="001B7B25" w:rsidRPr="001B7B25">
                              <w:rPr>
                                <w:rFonts w:ascii="Bookman Old Style" w:hAnsi="Bookman Old Style" w:cs="Liberation Serif"/>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2505AAF0" w14:textId="369291B3" w:rsidR="00B36A7F" w:rsidRPr="0012334B" w:rsidRDefault="00F27930"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Autores: </w:t>
                      </w:r>
                      <w:r w:rsidR="001B7B25" w:rsidRPr="001B7B25">
                        <w:rPr>
                          <w:rFonts w:ascii="Bookman Old Style" w:hAnsi="Bookman Old Style" w:cs="Liberation Serif"/>
                          <w:color w:val="FFFFFF" w:themeColor="background1"/>
                          <w:sz w:val="20"/>
                          <w:szCs w:val="20"/>
                        </w:rPr>
                        <w:t>Carolina Pereira Veloso</w:t>
                      </w:r>
                      <w:r w:rsidR="001B7B25">
                        <w:rPr>
                          <w:rFonts w:ascii="Bookman Old Style" w:hAnsi="Bookman Old Style" w:cs="Liberation Serif"/>
                          <w:color w:val="FFFFFF" w:themeColor="background1"/>
                          <w:sz w:val="20"/>
                          <w:szCs w:val="20"/>
                        </w:rPr>
                        <w:t>¹</w:t>
                      </w:r>
                      <w:r w:rsidR="001B7B25" w:rsidRPr="001B7B25">
                        <w:rPr>
                          <w:rFonts w:ascii="Bookman Old Style" w:hAnsi="Bookman Old Style" w:cs="Liberation Serif"/>
                          <w:color w:val="FFFFFF" w:themeColor="background1"/>
                          <w:sz w:val="20"/>
                          <w:szCs w:val="20"/>
                        </w:rPr>
                        <w:t>, Beatriz de Araújo Braz</w:t>
                      </w:r>
                      <w:r w:rsidR="001B7B25">
                        <w:rPr>
                          <w:rFonts w:ascii="Bookman Old Style" w:hAnsi="Bookman Old Style" w:cs="Liberation Serif"/>
                          <w:color w:val="FFFFFF" w:themeColor="background1"/>
                          <w:sz w:val="20"/>
                          <w:szCs w:val="20"/>
                        </w:rPr>
                        <w:t>¹</w:t>
                      </w:r>
                      <w:r w:rsidR="001B7B25" w:rsidRPr="001B7B25">
                        <w:rPr>
                          <w:rFonts w:ascii="Bookman Old Style" w:hAnsi="Bookman Old Style" w:cs="Liberation Serif"/>
                          <w:color w:val="FFFFFF" w:themeColor="background1"/>
                          <w:sz w:val="20"/>
                          <w:szCs w:val="20"/>
                        </w:rPr>
                        <w:t xml:space="preserve">, </w:t>
                      </w:r>
                      <w:proofErr w:type="spellStart"/>
                      <w:r w:rsidR="001B7B25" w:rsidRPr="001B7B25">
                        <w:rPr>
                          <w:rFonts w:ascii="Bookman Old Style" w:hAnsi="Bookman Old Style" w:cs="Liberation Serif"/>
                          <w:color w:val="FFFFFF" w:themeColor="background1"/>
                          <w:sz w:val="20"/>
                          <w:szCs w:val="20"/>
                        </w:rPr>
                        <w:t>Izabelly</w:t>
                      </w:r>
                      <w:proofErr w:type="spellEnd"/>
                      <w:r w:rsidR="001B7B25" w:rsidRPr="001B7B25">
                        <w:rPr>
                          <w:rFonts w:ascii="Bookman Old Style" w:hAnsi="Bookman Old Style" w:cs="Liberation Serif"/>
                          <w:color w:val="FFFFFF" w:themeColor="background1"/>
                          <w:sz w:val="20"/>
                          <w:szCs w:val="20"/>
                        </w:rPr>
                        <w:t xml:space="preserve"> </w:t>
                      </w:r>
                      <w:proofErr w:type="spellStart"/>
                      <w:r w:rsidR="001B7B25" w:rsidRPr="001B7B25">
                        <w:rPr>
                          <w:rFonts w:ascii="Bookman Old Style" w:hAnsi="Bookman Old Style" w:cs="Liberation Serif"/>
                          <w:color w:val="FFFFFF" w:themeColor="background1"/>
                          <w:sz w:val="20"/>
                          <w:szCs w:val="20"/>
                        </w:rPr>
                        <w:t>Lohanna</w:t>
                      </w:r>
                      <w:proofErr w:type="spellEnd"/>
                      <w:r w:rsidR="001B7B25" w:rsidRPr="001B7B25">
                        <w:rPr>
                          <w:rFonts w:ascii="Bookman Old Style" w:hAnsi="Bookman Old Style" w:cs="Liberation Serif"/>
                          <w:color w:val="FFFFFF" w:themeColor="background1"/>
                          <w:sz w:val="20"/>
                          <w:szCs w:val="20"/>
                        </w:rPr>
                        <w:t xml:space="preserve"> Maciel de Oliveira</w:t>
                      </w:r>
                      <w:r w:rsidR="001B7B25">
                        <w:rPr>
                          <w:rFonts w:ascii="Bookman Old Style" w:hAnsi="Bookman Old Style" w:cs="Liberation Serif"/>
                          <w:color w:val="FFFFFF" w:themeColor="background1"/>
                          <w:sz w:val="20"/>
                          <w:szCs w:val="20"/>
                        </w:rPr>
                        <w:t>¹</w:t>
                      </w:r>
                      <w:r w:rsidR="001B7B25" w:rsidRPr="001B7B25">
                        <w:rPr>
                          <w:rFonts w:ascii="Bookman Old Style" w:hAnsi="Bookman Old Style" w:cs="Liberation Serif"/>
                          <w:color w:val="FFFFFF" w:themeColor="background1"/>
                          <w:sz w:val="20"/>
                          <w:szCs w:val="20"/>
                        </w:rPr>
                        <w:t xml:space="preserve">, Talitha Araújo </w:t>
                      </w:r>
                      <w:proofErr w:type="spellStart"/>
                      <w:r w:rsidR="001B7B25" w:rsidRPr="001B7B25">
                        <w:rPr>
                          <w:rFonts w:ascii="Bookman Old Style" w:hAnsi="Bookman Old Style" w:cs="Liberation Serif"/>
                          <w:color w:val="FFFFFF" w:themeColor="background1"/>
                          <w:sz w:val="20"/>
                          <w:szCs w:val="20"/>
                        </w:rPr>
                        <w:t>Velôso</w:t>
                      </w:r>
                      <w:proofErr w:type="spellEnd"/>
                      <w:r w:rsidR="001B7B25" w:rsidRPr="001B7B25">
                        <w:rPr>
                          <w:rFonts w:ascii="Bookman Old Style" w:hAnsi="Bookman Old Style" w:cs="Liberation Serif"/>
                          <w:color w:val="FFFFFF" w:themeColor="background1"/>
                          <w:sz w:val="20"/>
                          <w:szCs w:val="20"/>
                        </w:rPr>
                        <w:t xml:space="preserve"> Faria</w:t>
                      </w:r>
                      <w:r w:rsidR="001B7B25">
                        <w:rPr>
                          <w:rFonts w:ascii="Bookman Old Style" w:hAnsi="Bookman Old Style" w:cs="Liberation Serif"/>
                          <w:color w:val="FFFFFF" w:themeColor="background1"/>
                          <w:sz w:val="20"/>
                          <w:szCs w:val="20"/>
                        </w:rPr>
                        <w:t>²</w:t>
                      </w:r>
                      <w:r w:rsidR="001B7B25" w:rsidRPr="001B7B25">
                        <w:rPr>
                          <w:rFonts w:ascii="Bookman Old Style" w:hAnsi="Bookman Old Style" w:cs="Liberation Serif"/>
                          <w:color w:val="FFFFFF" w:themeColor="background1"/>
                          <w:sz w:val="20"/>
                          <w:szCs w:val="20"/>
                        </w:rPr>
                        <w:t>.</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38E61B0F" wp14:editId="6EA8E391">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4C23FA7F" w14:textId="7E3B5901" w:rsidR="00BB621E" w:rsidRPr="00B36A7F" w:rsidRDefault="001B7B25" w:rsidP="0012334B">
                            <w:pPr>
                              <w:jc w:val="center"/>
                              <w:rPr>
                                <w:rFonts w:ascii="Bookman Old Style" w:hAnsi="Bookman Old Style" w:cs="Liberation Serif"/>
                                <w:color w:val="C5E0B3" w:themeColor="accent6" w:themeTint="66"/>
                                <w:sz w:val="40"/>
                                <w:szCs w:val="40"/>
                              </w:rPr>
                            </w:pPr>
                            <w:r w:rsidRPr="001B7B25">
                              <w:rPr>
                                <w:rFonts w:ascii="Bookman Old Style" w:hAnsi="Bookman Old Style" w:cs="Liberation Serif"/>
                                <w:color w:val="C5E0B3" w:themeColor="accent6" w:themeTint="66"/>
                                <w:sz w:val="40"/>
                                <w:szCs w:val="40"/>
                              </w:rPr>
                              <w:t xml:space="preserve">Endocardite Infecciosa </w:t>
                            </w:r>
                            <w:r w:rsidR="00F27930">
                              <w:rPr>
                                <w:rFonts w:ascii="Bookman Old Style" w:hAnsi="Bookman Old Style" w:cs="Liberation Serif"/>
                                <w:color w:val="C5E0B3" w:themeColor="accent6" w:themeTint="66"/>
                                <w:sz w:val="40"/>
                                <w:szCs w:val="40"/>
                              </w:rPr>
                              <w:t>E</w:t>
                            </w:r>
                            <w:r w:rsidRPr="001B7B25">
                              <w:rPr>
                                <w:rFonts w:ascii="Bookman Old Style" w:hAnsi="Bookman Old Style" w:cs="Liberation Serif"/>
                                <w:color w:val="C5E0B3" w:themeColor="accent6" w:themeTint="66"/>
                                <w:sz w:val="40"/>
                                <w:szCs w:val="40"/>
                              </w:rPr>
                              <w:t xml:space="preserve"> </w:t>
                            </w:r>
                            <w:r w:rsidR="00F27930">
                              <w:rPr>
                                <w:rFonts w:ascii="Bookman Old Style" w:hAnsi="Bookman Old Style" w:cs="Liberation Serif"/>
                                <w:color w:val="C5E0B3" w:themeColor="accent6" w:themeTint="66"/>
                                <w:sz w:val="40"/>
                                <w:szCs w:val="40"/>
                              </w:rPr>
                              <w:t>O</w:t>
                            </w:r>
                            <w:r w:rsidRPr="001B7B25">
                              <w:rPr>
                                <w:rFonts w:ascii="Bookman Old Style" w:hAnsi="Bookman Old Style" w:cs="Liberation Serif"/>
                                <w:color w:val="C5E0B3" w:themeColor="accent6" w:themeTint="66"/>
                                <w:sz w:val="40"/>
                                <w:szCs w:val="40"/>
                              </w:rPr>
                              <w:t xml:space="preserve"> Uso </w:t>
                            </w:r>
                            <w:r w:rsidR="00F27930">
                              <w:rPr>
                                <w:rFonts w:ascii="Bookman Old Style" w:hAnsi="Bookman Old Style" w:cs="Liberation Serif"/>
                                <w:color w:val="C5E0B3" w:themeColor="accent6" w:themeTint="66"/>
                                <w:sz w:val="40"/>
                                <w:szCs w:val="40"/>
                              </w:rPr>
                              <w:t>D</w:t>
                            </w:r>
                            <w:bookmarkStart w:id="0" w:name="_GoBack"/>
                            <w:bookmarkEnd w:id="0"/>
                            <w:r w:rsidRPr="001B7B25">
                              <w:rPr>
                                <w:rFonts w:ascii="Bookman Old Style" w:hAnsi="Bookman Old Style" w:cs="Liberation Serif"/>
                                <w:color w:val="C5E0B3" w:themeColor="accent6" w:themeTint="66"/>
                                <w:sz w:val="40"/>
                                <w:szCs w:val="40"/>
                              </w:rPr>
                              <w:t>e Drogas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4C23FA7F" w14:textId="7E3B5901" w:rsidR="00BB621E" w:rsidRPr="00B36A7F" w:rsidRDefault="001B7B25" w:rsidP="0012334B">
                      <w:pPr>
                        <w:jc w:val="center"/>
                        <w:rPr>
                          <w:rFonts w:ascii="Bookman Old Style" w:hAnsi="Bookman Old Style" w:cs="Liberation Serif"/>
                          <w:color w:val="C5E0B3" w:themeColor="accent6" w:themeTint="66"/>
                          <w:sz w:val="40"/>
                          <w:szCs w:val="40"/>
                        </w:rPr>
                      </w:pPr>
                      <w:r w:rsidRPr="001B7B25">
                        <w:rPr>
                          <w:rFonts w:ascii="Bookman Old Style" w:hAnsi="Bookman Old Style" w:cs="Liberation Serif"/>
                          <w:color w:val="C5E0B3" w:themeColor="accent6" w:themeTint="66"/>
                          <w:sz w:val="40"/>
                          <w:szCs w:val="40"/>
                        </w:rPr>
                        <w:t xml:space="preserve">Endocardite Infecciosa </w:t>
                      </w:r>
                      <w:r w:rsidR="00F27930">
                        <w:rPr>
                          <w:rFonts w:ascii="Bookman Old Style" w:hAnsi="Bookman Old Style" w:cs="Liberation Serif"/>
                          <w:color w:val="C5E0B3" w:themeColor="accent6" w:themeTint="66"/>
                          <w:sz w:val="40"/>
                          <w:szCs w:val="40"/>
                        </w:rPr>
                        <w:t>E</w:t>
                      </w:r>
                      <w:r w:rsidRPr="001B7B25">
                        <w:rPr>
                          <w:rFonts w:ascii="Bookman Old Style" w:hAnsi="Bookman Old Style" w:cs="Liberation Serif"/>
                          <w:color w:val="C5E0B3" w:themeColor="accent6" w:themeTint="66"/>
                          <w:sz w:val="40"/>
                          <w:szCs w:val="40"/>
                        </w:rPr>
                        <w:t xml:space="preserve"> </w:t>
                      </w:r>
                      <w:r w:rsidR="00F27930">
                        <w:rPr>
                          <w:rFonts w:ascii="Bookman Old Style" w:hAnsi="Bookman Old Style" w:cs="Liberation Serif"/>
                          <w:color w:val="C5E0B3" w:themeColor="accent6" w:themeTint="66"/>
                          <w:sz w:val="40"/>
                          <w:szCs w:val="40"/>
                        </w:rPr>
                        <w:t>O</w:t>
                      </w:r>
                      <w:r w:rsidRPr="001B7B25">
                        <w:rPr>
                          <w:rFonts w:ascii="Bookman Old Style" w:hAnsi="Bookman Old Style" w:cs="Liberation Serif"/>
                          <w:color w:val="C5E0B3" w:themeColor="accent6" w:themeTint="66"/>
                          <w:sz w:val="40"/>
                          <w:szCs w:val="40"/>
                        </w:rPr>
                        <w:t xml:space="preserve"> Uso </w:t>
                      </w:r>
                      <w:r w:rsidR="00F27930">
                        <w:rPr>
                          <w:rFonts w:ascii="Bookman Old Style" w:hAnsi="Bookman Old Style" w:cs="Liberation Serif"/>
                          <w:color w:val="C5E0B3" w:themeColor="accent6" w:themeTint="66"/>
                          <w:sz w:val="40"/>
                          <w:szCs w:val="40"/>
                        </w:rPr>
                        <w:t>D</w:t>
                      </w:r>
                      <w:bookmarkStart w:id="1" w:name="_GoBack"/>
                      <w:bookmarkEnd w:id="1"/>
                      <w:r w:rsidRPr="001B7B25">
                        <w:rPr>
                          <w:rFonts w:ascii="Bookman Old Style" w:hAnsi="Bookman Old Style" w:cs="Liberation Serif"/>
                          <w:color w:val="C5E0B3" w:themeColor="accent6" w:themeTint="66"/>
                          <w:sz w:val="40"/>
                          <w:szCs w:val="40"/>
                        </w:rPr>
                        <w:t>e Drogas</w:t>
                      </w:r>
                    </w:p>
                  </w:txbxContent>
                </v:textbox>
              </v:shape>
            </w:pict>
          </mc:Fallback>
        </mc:AlternateContent>
      </w:r>
      <w:r w:rsidR="00BB621E" w:rsidRPr="00BB621E">
        <w:rPr>
          <w:noProof/>
          <w:lang w:eastAsia="pt-BR"/>
        </w:rPr>
        <w:drawing>
          <wp:inline distT="0" distB="0" distL="0" distR="0" wp14:anchorId="602F18B3" wp14:editId="09D381F1">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22FD5" w14:textId="77777777" w:rsidR="00EC133E" w:rsidRDefault="00EC133E" w:rsidP="000B32CF">
      <w:pPr>
        <w:spacing w:after="0" w:line="240" w:lineRule="auto"/>
      </w:pPr>
      <w:r>
        <w:separator/>
      </w:r>
    </w:p>
  </w:endnote>
  <w:endnote w:type="continuationSeparator" w:id="0">
    <w:p w14:paraId="6D8BD239" w14:textId="77777777" w:rsidR="00EC133E" w:rsidRDefault="00EC133E"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F4959" w14:textId="77777777" w:rsidR="00EC133E" w:rsidRDefault="00EC133E" w:rsidP="000B32CF">
      <w:pPr>
        <w:spacing w:after="0" w:line="240" w:lineRule="auto"/>
      </w:pPr>
      <w:r>
        <w:separator/>
      </w:r>
    </w:p>
  </w:footnote>
  <w:footnote w:type="continuationSeparator" w:id="0">
    <w:p w14:paraId="235E419C" w14:textId="77777777" w:rsidR="00EC133E" w:rsidRDefault="00EC133E"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CF"/>
    <w:rsid w:val="000B32CF"/>
    <w:rsid w:val="0012334B"/>
    <w:rsid w:val="001B7B25"/>
    <w:rsid w:val="005949FC"/>
    <w:rsid w:val="00910A25"/>
    <w:rsid w:val="0096415E"/>
    <w:rsid w:val="0099739A"/>
    <w:rsid w:val="009C2829"/>
    <w:rsid w:val="009C55E6"/>
    <w:rsid w:val="00B1437E"/>
    <w:rsid w:val="00B36A7F"/>
    <w:rsid w:val="00B63AA6"/>
    <w:rsid w:val="00BB621E"/>
    <w:rsid w:val="00BF7B8E"/>
    <w:rsid w:val="00EC133E"/>
    <w:rsid w:val="00F279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A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 w:type="paragraph" w:styleId="Textodebalo">
    <w:name w:val="Balloon Text"/>
    <w:basedOn w:val="Normal"/>
    <w:link w:val="TextodebaloChar"/>
    <w:uiPriority w:val="99"/>
    <w:semiHidden/>
    <w:unhideWhenUsed/>
    <w:rsid w:val="00F279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79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 w:type="paragraph" w:styleId="Textodebalo">
    <w:name w:val="Balloon Text"/>
    <w:basedOn w:val="Normal"/>
    <w:link w:val="TextodebaloChar"/>
    <w:uiPriority w:val="99"/>
    <w:semiHidden/>
    <w:unhideWhenUsed/>
    <w:rsid w:val="00F279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79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itorapasteur.com.b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ditorapasteur.com.br"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SAMSUNG</cp:lastModifiedBy>
  <cp:revision>6</cp:revision>
  <dcterms:created xsi:type="dcterms:W3CDTF">2021-05-28T23:09:00Z</dcterms:created>
  <dcterms:modified xsi:type="dcterms:W3CDTF">2021-06-04T21:32:00Z</dcterms:modified>
</cp:coreProperties>
</file>