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29A21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FC8D9" wp14:editId="4798E3A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3DAC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C8D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343DAC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3628D" wp14:editId="32C89AF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E6E44" wp14:editId="5A0913C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8FE41" w14:textId="0223A6D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75166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58EFA39" w14:textId="49738C9F" w:rsidR="00B36A7F" w:rsidRPr="00342877" w:rsidRDefault="00342877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28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Segundo a Organização Mundial de Saúde (OMS), a obesidade é uma condição clínica em que o Índice de Massa Corporal (IMC) é maior ou igual a 30kg/m2</w:t>
                            </w:r>
                            <w:r w:rsidR="00094F0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na qual</w:t>
                            </w:r>
                            <w:r w:rsidRPr="003428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</w:t>
                            </w:r>
                            <w:r w:rsidR="00094F0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Pr="003428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metabolismo</w:t>
                            </w:r>
                            <w:r w:rsidR="00E440A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inclusive</w:t>
                            </w:r>
                            <w:r w:rsidRPr="003428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ósseo, </w:t>
                            </w:r>
                            <w:r w:rsidR="00E440A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ligando</w:t>
                            </w:r>
                            <w:r w:rsidRPr="003428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-se a osteoporose, uma doença esquelética sistêmica progressiva com redução de massa óssea.</w:t>
                            </w:r>
                          </w:p>
                          <w:p w14:paraId="09224B3B" w14:textId="4B3A64D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3ACC6EB" w14:textId="3B8C59D2" w:rsidR="00B36A7F" w:rsidRPr="00342877" w:rsidRDefault="00342877" w:rsidP="00342877">
                            <w:pPr>
                              <w:spacing w:before="240" w:after="240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212121"/>
                                <w:sz w:val="20"/>
                                <w:szCs w:val="20"/>
                                <w:highlight w:val="yellow"/>
                              </w:rPr>
                            </w:pPr>
                            <w:bookmarkStart w:id="1" w:name="_Hlk73269611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a relação da obesidade e da osteoporose como causadoras de fragilidade óssea e o risco de fraturas futuras. </w:t>
                            </w:r>
                            <w:bookmarkEnd w:id="1"/>
                          </w:p>
                          <w:p w14:paraId="1657C67E" w14:textId="4EEE9E3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668E30" w14:textId="201E065F" w:rsidR="00B36A7F" w:rsidRPr="00342877" w:rsidRDefault="00342877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na base de dados: Medline (via 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utilizando a estratégia de busca: </w:t>
                            </w:r>
                            <w:r w:rsidRPr="00342877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Obesity</w:t>
                            </w:r>
                            <w:proofErr w:type="spellEnd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Osteoporosis</w:t>
                            </w:r>
                            <w:proofErr w:type="spellEnd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Mass Index AND Risk 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Factors</w:t>
                            </w:r>
                            <w:proofErr w:type="spellEnd"/>
                            <w:r w:rsidRPr="00342877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Como critério de inclusão foram adotados artigos com delimitação de tempo de 2016-2021 e sem delimitação de idiomas, que abordavam a associação da obesidade com a fragilidade óssea relacionada ao aparecimento de doenças </w:t>
                            </w:r>
                            <w:proofErr w:type="spellStart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osteometabólicas</w:t>
                            </w:r>
                            <w:proofErr w:type="spellEnd"/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 A seleção dos estudos aconteceu pela leitura de títulos, resumos e artigos completos.</w:t>
                            </w:r>
                          </w:p>
                          <w:p w14:paraId="3969AD0A" w14:textId="097A15F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0E2A9F9" w14:textId="2EF8EA8D" w:rsidR="00342877" w:rsidRPr="00342877" w:rsidRDefault="00342877" w:rsidP="00342877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42877">
                              <w:rPr>
                                <w:rFonts w:ascii="Bookman Old Style" w:eastAsia="Times New Roman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Dos 81 artigos encontrados, 43 foram excluídos pela leitura do título, 20 após a leitura do resumo, resultando em 18 artigos selecionados para leitura do texto na íntegra.</w:t>
                            </w:r>
                            <w:r w:rsidRPr="00342877">
                              <w:rPr>
                                <w:rFonts w:ascii="Bookman Old Style" w:eastAsia="Times" w:hAnsi="Bookman Old Style" w:cs="Times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Esses estudos evidenciaram que a obesidade está associada à progressão mais rápida da fragilidade óssea. De acordo com um estudo, 49% das fraturas de quadril ocorreram em pessoas acima do peso e detentores de uma maior relação cintura-quadril, existindo uma correlação entre a obesidade e o maior risco de fraturas em alguns locais, exceto no úmero proximal, pois nesse local a gordura funciona como fator protetor. No entanto, foi notado um melhor prognóstico através hábitos saudáveis, devido a modulação de biomarcadores inflamatórios, sendo um fator relevante em distúrbios como obesidade e osteoporose.</w:t>
                            </w:r>
                          </w:p>
                          <w:p w14:paraId="26203E2A" w14:textId="729FA67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DFD8974" w14:textId="210DE88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DEBB3D9" w14:textId="77777777" w:rsidR="00596077" w:rsidRPr="00596077" w:rsidRDefault="00596077" w:rsidP="00596077">
                            <w:pPr>
                              <w:spacing w:line="276" w:lineRule="auto"/>
                              <w:ind w:left="20" w:right="40"/>
                              <w:jc w:val="both"/>
                              <w:rPr>
                                <w:rFonts w:ascii="Bookman Old Style" w:eastAsia="Times" w:hAnsi="Bookman Old Style" w:cs="Times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3269774"/>
                            <w:r w:rsidRPr="00596077">
                              <w:rPr>
                                <w:rFonts w:ascii="Bookman Old Style" w:eastAsia="Times" w:hAnsi="Bookman Old Style" w:cs="Times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 associação entre obesidade e osteoporose permeia a fragilidade óssea, a qual pode resultar em um número maior de fraturas em determinados sítios do corpo em comparação com outros. Ressalta-se que para um bom prognóstico precisa-se mudar o estilo de vida para um mais saudável.</w:t>
                            </w:r>
                          </w:p>
                          <w:bookmarkEnd w:id="2"/>
                          <w:p w14:paraId="04789F9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28F700C" w14:textId="5030F52D" w:rsidR="00B36A7F" w:rsidRPr="000E2344" w:rsidRDefault="00596077" w:rsidP="00596077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Obesity</w:t>
                            </w:r>
                            <w:proofErr w:type="spellEnd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Osteoporosis</w:t>
                            </w:r>
                            <w:proofErr w:type="spellEnd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Massa Index. Risk </w:t>
                            </w:r>
                            <w:proofErr w:type="spellStart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Factors</w:t>
                            </w:r>
                            <w:proofErr w:type="spellEnd"/>
                            <w:r w:rsidRPr="000E234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73CA506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37C5E2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5350869" w14:textId="7EB8A9D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CESMAC. Maceió, AL.</w:t>
                            </w:r>
                          </w:p>
                          <w:p w14:paraId="1E9082DB" w14:textId="4529F58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CESMAC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</w:t>
                            </w:r>
                            <w:r w:rsid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6E44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F88FE41" w14:textId="0223A6D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73275166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58EFA39" w14:textId="49738C9F" w:rsidR="00B36A7F" w:rsidRPr="00342877" w:rsidRDefault="00342877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28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Segundo a Organização Mundial de Saúde (OMS), a obesidade é uma condição clínica em que o Índice de Massa Corporal (IMC) é maior ou igual a 30kg/m2</w:t>
                      </w:r>
                      <w:r w:rsidR="00094F0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na qual</w:t>
                      </w:r>
                      <w:r w:rsidRPr="003428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altera</w:t>
                      </w:r>
                      <w:r w:rsidR="00094F0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Pr="003428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 metabolismo</w:t>
                      </w:r>
                      <w:r w:rsidR="00E440A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inclusive</w:t>
                      </w:r>
                      <w:r w:rsidRPr="003428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 ósseo, </w:t>
                      </w:r>
                      <w:r w:rsidR="00E440A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ligando</w:t>
                      </w:r>
                      <w:r w:rsidRPr="003428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-se a osteoporose, uma doença esquelética sistêmica progressiva com redução de massa óssea.</w:t>
                      </w:r>
                    </w:p>
                    <w:p w14:paraId="09224B3B" w14:textId="4B3A64D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3ACC6EB" w14:textId="3B8C59D2" w:rsidR="00B36A7F" w:rsidRPr="00342877" w:rsidRDefault="00342877" w:rsidP="00342877">
                      <w:pPr>
                        <w:spacing w:before="240" w:after="240"/>
                        <w:jc w:val="both"/>
                        <w:rPr>
                          <w:rFonts w:ascii="Bookman Old Style" w:eastAsia="Times New Roman" w:hAnsi="Bookman Old Style" w:cs="Times New Roman"/>
                          <w:bCs/>
                          <w:color w:val="212121"/>
                          <w:sz w:val="20"/>
                          <w:szCs w:val="20"/>
                          <w:highlight w:val="yellow"/>
                        </w:rPr>
                      </w:pPr>
                      <w:bookmarkStart w:id="4" w:name="_Hlk73269611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Avaliar a relação da obesidade e da osteoporose como causadoras de fragilidade óssea e o risco de fraturas futuras. </w:t>
                      </w:r>
                      <w:bookmarkEnd w:id="4"/>
                    </w:p>
                    <w:p w14:paraId="1657C67E" w14:textId="4EEE9E3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668E30" w14:textId="201E065F" w:rsidR="00B36A7F" w:rsidRPr="00342877" w:rsidRDefault="00342877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</w:pPr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na base de dados: Medline (via 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), utilizando a estratégia de busca: </w:t>
                      </w:r>
                      <w:r w:rsidRPr="00342877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Obesity</w:t>
                      </w:r>
                      <w:proofErr w:type="spellEnd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Osteoporosis</w:t>
                      </w:r>
                      <w:proofErr w:type="spellEnd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Mass Index AND Risk 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Factors</w:t>
                      </w:r>
                      <w:proofErr w:type="spellEnd"/>
                      <w:r w:rsidRPr="00342877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. Como critério de inclusão foram adotados artigos com delimitação de tempo de 2016-2021 e sem delimitação de idiomas, que abordavam a associação da obesidade com a fragilidade óssea relacionada ao aparecimento de doenças </w:t>
                      </w:r>
                      <w:proofErr w:type="spellStart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osteometabólicas</w:t>
                      </w:r>
                      <w:proofErr w:type="spellEnd"/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. A seleção dos estudos aconteceu pela leitura de títulos, resumos e artigos completos.</w:t>
                      </w:r>
                    </w:p>
                    <w:p w14:paraId="3969AD0A" w14:textId="097A15F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0E2A9F9" w14:textId="2EF8EA8D" w:rsidR="00342877" w:rsidRPr="00342877" w:rsidRDefault="00342877" w:rsidP="00342877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yellow"/>
                        </w:rPr>
                      </w:pPr>
                      <w:r w:rsidRPr="00342877">
                        <w:rPr>
                          <w:rFonts w:ascii="Bookman Old Style" w:eastAsia="Times New Roman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Dos 81 artigos encontrados, 43 foram excluídos pela leitura do título, 20 após a leitura do resumo, resultando em 18 artigos selecionados para leitura do texto na íntegra.</w:t>
                      </w:r>
                      <w:r w:rsidRPr="00342877">
                        <w:rPr>
                          <w:rFonts w:ascii="Bookman Old Style" w:eastAsia="Times" w:hAnsi="Bookman Old Style" w:cs="Times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Esses estudos evidenciaram que a obesidade está associada à progressão mais rápida da fragilidade óssea. De acordo com um estudo, 49% das fraturas de quadril ocorreram em pessoas acima do peso e detentores de uma maior relação cintura-quadril, existindo uma correlação entre a obesidade e o maior risco de fraturas em alguns locais, exceto no úmero proximal, pois nesse local a gordura funciona como fator protetor. No entanto, foi notado um melhor prognóstico através hábitos saudáveis, devido a modulação de biomarcadores inflamatórios, sendo um fator relevante em distúrbios como obesidade e osteoporose.</w:t>
                      </w:r>
                    </w:p>
                    <w:p w14:paraId="26203E2A" w14:textId="729FA67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DFD8974" w14:textId="210DE88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DEBB3D9" w14:textId="77777777" w:rsidR="00596077" w:rsidRPr="00596077" w:rsidRDefault="00596077" w:rsidP="00596077">
                      <w:pPr>
                        <w:spacing w:line="276" w:lineRule="auto"/>
                        <w:ind w:left="20" w:right="40"/>
                        <w:jc w:val="both"/>
                        <w:rPr>
                          <w:rFonts w:ascii="Bookman Old Style" w:eastAsia="Times" w:hAnsi="Bookman Old Style" w:cs="Times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_Hlk73269774"/>
                      <w:r w:rsidRPr="00596077">
                        <w:rPr>
                          <w:rFonts w:ascii="Bookman Old Style" w:eastAsia="Times" w:hAnsi="Bookman Old Style" w:cs="Times"/>
                          <w:bCs/>
                          <w:color w:val="FFFFFF" w:themeColor="background1"/>
                          <w:sz w:val="20"/>
                          <w:szCs w:val="20"/>
                        </w:rPr>
                        <w:t>A associação entre obesidade e osteoporose permeia a fragilidade óssea, a qual pode resultar em um número maior de fraturas em determinados sítios do corpo em comparação com outros. Ressalta-se que para um bom prognóstico precisa-se mudar o estilo de vida para um mais saudável.</w:t>
                      </w:r>
                    </w:p>
                    <w:bookmarkEnd w:id="5"/>
                    <w:p w14:paraId="04789F9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28F700C" w14:textId="5030F52D" w:rsidR="00B36A7F" w:rsidRPr="000E2344" w:rsidRDefault="00596077" w:rsidP="00596077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Obesity</w:t>
                      </w:r>
                      <w:proofErr w:type="spellEnd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Osteoporosis</w:t>
                      </w:r>
                      <w:proofErr w:type="spellEnd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Massa Index. Risk </w:t>
                      </w:r>
                      <w:proofErr w:type="spellStart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Factors</w:t>
                      </w:r>
                      <w:proofErr w:type="spellEnd"/>
                      <w:r w:rsidRPr="000E234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3"/>
                    <w:p w14:paraId="73CA506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37C5E2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5350869" w14:textId="7EB8A9D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CESMAC. Maceió, AL.</w:t>
                      </w:r>
                    </w:p>
                    <w:p w14:paraId="1E9082DB" w14:textId="4529F58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CESMAC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</w:t>
                      </w:r>
                      <w:r w:rsid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AL.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964EF" wp14:editId="7FB1E6E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F66A0" w14:textId="7265EE7F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Aline Coelho Moura</w:t>
                            </w:r>
                            <w:r w:rsidR="00DF7438" w:rsidRP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Anderson Victor Queiroz Barros</w:t>
                            </w:r>
                            <w:r w:rsidR="00DF7438" w:rsidRP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Bruna </w:t>
                            </w:r>
                            <w:proofErr w:type="spellStart"/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Isabelly</w:t>
                            </w:r>
                            <w:proofErr w:type="spellEnd"/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Freire Cabral</w:t>
                            </w:r>
                            <w:r w:rsidR="00094F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Teixeira</w:t>
                            </w:r>
                            <w:r w:rsidR="00DF7438" w:rsidRP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96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Coriolano Cabral de Melo Neto</w:t>
                            </w:r>
                            <w:r w:rsidR="00DF7438" w:rsidRP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Kelly Cristina Lira de Andrad</w:t>
                            </w:r>
                            <w:r w:rsidR="00094F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F7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64E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D2F66A0" w14:textId="7265EE7F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Aline Coelho Moura</w:t>
                      </w:r>
                      <w:r w:rsidR="00DF7438" w:rsidRP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Anderson Victor Queiroz Barros</w:t>
                      </w:r>
                      <w:r w:rsidR="00DF7438" w:rsidRP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Bruna </w:t>
                      </w:r>
                      <w:proofErr w:type="spellStart"/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Isabelly</w:t>
                      </w:r>
                      <w:proofErr w:type="spellEnd"/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Freire Cabral</w:t>
                      </w:r>
                      <w:r w:rsidR="00094F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Teixeira</w:t>
                      </w:r>
                      <w:r w:rsidR="00DF7438" w:rsidRP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96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Coriolano Cabral de Melo Neto</w:t>
                      </w:r>
                      <w:r w:rsidR="00DF7438" w:rsidRP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Kelly Cristina Lira de Andrad</w:t>
                      </w:r>
                      <w:r w:rsidR="00094F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F7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45A6D" wp14:editId="473DE31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EB2C8" w14:textId="4F81680F" w:rsidR="00342877" w:rsidRPr="000E2344" w:rsidRDefault="0034287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E2344">
                              <w:rPr>
                                <w:rFonts w:ascii="Bookman Old Style" w:hAnsi="Bookman Old Style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Obesidade e sua Correlação com o Surgimento de Fraturas Ósseas: um Distúrbio </w:t>
                            </w:r>
                            <w:proofErr w:type="spellStart"/>
                            <w:r w:rsidRPr="000E2344">
                              <w:rPr>
                                <w:rFonts w:ascii="Bookman Old Style" w:hAnsi="Bookman Old Style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Osteometabólico</w:t>
                            </w:r>
                            <w:proofErr w:type="spellEnd"/>
                          </w:p>
                          <w:p w14:paraId="43523C7E" w14:textId="7B102EEC" w:rsidR="00BB621E" w:rsidRPr="00B36A7F" w:rsidRDefault="00BB621E" w:rsidP="00342877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5A6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7DEB2C8" w14:textId="4F81680F" w:rsidR="00342877" w:rsidRPr="000E2344" w:rsidRDefault="00342877" w:rsidP="0012334B">
                      <w:pPr>
                        <w:jc w:val="center"/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E2344">
                        <w:rPr>
                          <w:rFonts w:ascii="Bookman Old Style" w:hAnsi="Bookman Old Style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Obesidade e sua Correlação com o Surgimento de Fraturas Ósseas: um Distúrbio </w:t>
                      </w:r>
                      <w:proofErr w:type="spellStart"/>
                      <w:r w:rsidRPr="000E2344">
                        <w:rPr>
                          <w:rFonts w:ascii="Bookman Old Style" w:hAnsi="Bookman Old Style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Osteometabólico</w:t>
                      </w:r>
                      <w:proofErr w:type="spellEnd"/>
                    </w:p>
                    <w:p w14:paraId="43523C7E" w14:textId="7B102EEC" w:rsidR="00BB621E" w:rsidRPr="00B36A7F" w:rsidRDefault="00BB621E" w:rsidP="00342877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C3D9484" wp14:editId="5177576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04C92" w14:textId="77777777" w:rsidR="00127800" w:rsidRDefault="00127800" w:rsidP="000B32CF">
      <w:pPr>
        <w:spacing w:after="0" w:line="240" w:lineRule="auto"/>
      </w:pPr>
      <w:r>
        <w:separator/>
      </w:r>
    </w:p>
  </w:endnote>
  <w:endnote w:type="continuationSeparator" w:id="0">
    <w:p w14:paraId="39034084" w14:textId="77777777" w:rsidR="00127800" w:rsidRDefault="0012780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2F1D3" w14:textId="77777777" w:rsidR="00127800" w:rsidRDefault="00127800" w:rsidP="000B32CF">
      <w:pPr>
        <w:spacing w:after="0" w:line="240" w:lineRule="auto"/>
      </w:pPr>
      <w:r>
        <w:separator/>
      </w:r>
    </w:p>
  </w:footnote>
  <w:footnote w:type="continuationSeparator" w:id="0">
    <w:p w14:paraId="0FD09E80" w14:textId="77777777" w:rsidR="00127800" w:rsidRDefault="00127800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8250B"/>
    <w:multiLevelType w:val="multilevel"/>
    <w:tmpl w:val="97FC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94F05"/>
    <w:rsid w:val="000B32CF"/>
    <w:rsid w:val="000E2344"/>
    <w:rsid w:val="0012334B"/>
    <w:rsid w:val="00127800"/>
    <w:rsid w:val="00196D22"/>
    <w:rsid w:val="00342877"/>
    <w:rsid w:val="00596077"/>
    <w:rsid w:val="00653DC5"/>
    <w:rsid w:val="00910A25"/>
    <w:rsid w:val="009C2829"/>
    <w:rsid w:val="009C55E6"/>
    <w:rsid w:val="00B36A7F"/>
    <w:rsid w:val="00BB621E"/>
    <w:rsid w:val="00BF7B8E"/>
    <w:rsid w:val="00D977C1"/>
    <w:rsid w:val="00DF7438"/>
    <w:rsid w:val="00E4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9D02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6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Aline Moura</cp:lastModifiedBy>
  <cp:revision>2</cp:revision>
  <dcterms:created xsi:type="dcterms:W3CDTF">2021-06-04T12:56:00Z</dcterms:created>
  <dcterms:modified xsi:type="dcterms:W3CDTF">2021-06-04T12:56:00Z</dcterms:modified>
</cp:coreProperties>
</file>