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8DC90" w14:textId="0AEF62A2" w:rsidR="00324E01" w:rsidRDefault="006042F3"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EF8DC93" wp14:editId="455BA550">
                <wp:simplePos x="0" y="0"/>
                <wp:positionH relativeFrom="column">
                  <wp:posOffset>118753</wp:posOffset>
                </wp:positionH>
                <wp:positionV relativeFrom="paragraph">
                  <wp:posOffset>344384</wp:posOffset>
                </wp:positionV>
                <wp:extent cx="4777740" cy="1033154"/>
                <wp:effectExtent l="0" t="0" r="0" b="0"/>
                <wp:wrapNone/>
                <wp:docPr id="1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033154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D" w14:textId="4B5D1189" w:rsidR="00324E01" w:rsidRDefault="006042F3">
                            <w:pPr>
                              <w:pStyle w:val="FrameContents"/>
                              <w:jc w:val="center"/>
                            </w:pPr>
                            <w:r w:rsidRPr="006042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Tromboembolismo Venoso </w:t>
                            </w:r>
                            <w:r w:rsidR="00F354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6042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354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6042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Terapia Anticoagulante </w:t>
                            </w:r>
                            <w:r w:rsidR="00F354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6042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Covid-19: Uma Revisão </w:t>
                            </w:r>
                            <w:r w:rsidR="00F354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6042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Literatura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8DC93" id="Caixa de Texto 19" o:spid="_x0000_s1026" style="position:absolute;margin-left:9.35pt;margin-top:27.1pt;width:376.2pt;height:81.35pt;z-index: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" filled="f" stroked="f" strokeweight=".18mm">
                <v:textbox>
                  <w:txbxContent>
                    <w:p w14:paraId="2EF8DC9D" w14:textId="4B5D1189" w:rsidR="00324E01" w:rsidRDefault="006042F3">
                      <w:pPr>
                        <w:pStyle w:val="FrameContents"/>
                        <w:jc w:val="center"/>
                      </w:pPr>
                      <w:r w:rsidRPr="006042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Tromboembolismo Venoso </w:t>
                      </w:r>
                      <w:r w:rsidR="00F354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6042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354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6042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Terapia Anticoagulante </w:t>
                      </w:r>
                      <w:r w:rsidR="00F354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6042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Covid-19: Uma Revisão </w:t>
                      </w:r>
                      <w:r w:rsidR="00F354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6042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Literatura</w:t>
                      </w:r>
                    </w:p>
                  </w:txbxContent>
                </v:textbox>
              </v:rect>
            </w:pict>
          </mc:Fallback>
        </mc:AlternateContent>
      </w:r>
      <w:r w:rsidR="00FA0655">
        <w:rPr>
          <w:noProof/>
        </w:rPr>
        <w:drawing>
          <wp:inline distT="0" distB="0" distL="0" distR="0" wp14:anchorId="2EF8DC91" wp14:editId="12D2B3D9">
            <wp:extent cx="7553325" cy="10683240"/>
            <wp:effectExtent l="0" t="0" r="0" b="0"/>
            <wp:docPr id="10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8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EF8DC95" wp14:editId="62D1240F">
                <wp:simplePos x="0" y="0"/>
                <wp:positionH relativeFrom="column">
                  <wp:posOffset>0</wp:posOffset>
                </wp:positionH>
                <wp:positionV relativeFrom="paragraph">
                  <wp:posOffset>1381760</wp:posOffset>
                </wp:positionV>
                <wp:extent cx="5016500" cy="673200"/>
                <wp:effectExtent l="0" t="0" r="0" b="0"/>
                <wp:wrapNone/>
                <wp:docPr id="3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6732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E" w14:textId="3E281F87" w:rsidR="00324E01" w:rsidRDefault="00F3549F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Luana Maria Leite Villarim Dias</w:t>
                            </w:r>
                            <w:r w:rsid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amila Araújo Novais Lima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Franco Correia Cruz Filho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Bruno Araújo Novais Lima</w:t>
                            </w:r>
                            <w:r w:rsid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5" id="Caixa de Texto 20" o:spid="_x0000_s1027" style="position:absolute;margin-left:0;margin-top:108.8pt;width:395pt;height:53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" filled="f" stroked="f" strokeweight=".18mm">
                <v:textbox>
                  <w:txbxContent>
                    <w:p w14:paraId="2EF8DC9E" w14:textId="3E281F87" w:rsidR="00324E01" w:rsidRDefault="00F3549F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Luana Maria Leite Villarim Dias</w:t>
                      </w:r>
                      <w:r w:rsid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amila Araújo Novais Lima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Franco Correia Cruz Filho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Bruno Araújo Novais Lima</w:t>
                      </w:r>
                      <w:r w:rsid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EF8DC97" wp14:editId="66EBE9E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92900" cy="8083550"/>
                <wp:effectExtent l="0" t="0" r="0" b="0"/>
                <wp:wrapNone/>
                <wp:docPr id="5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08355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F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AB3EC3" w14:textId="77777777" w:rsidR="006042F3" w:rsidRDefault="006042F3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docs-internal-guid-f8a57e39-7fff-9242-6b"/>
                            <w:bookmarkEnd w:id="0"/>
                            <w:r w:rsidRP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eventos pró-trombóticos são recorrentes durante o processo inflamatório gerado pelo novo coronavírus, o qual utiliza a ECA-2 como receptor, desregulando a cascata de coagulação. Isso se deve aos mecanismos fisiopatológicos das infecções agudas que desencadeiam o estado de hipercoagulabilidade.</w:t>
                            </w:r>
                          </w:p>
                          <w:p w14:paraId="2EF8DCA1" w14:textId="56A164F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F8DCA2" w14:textId="6F017825" w:rsidR="00324E01" w:rsidRDefault="006042F3">
                            <w:pPr>
                              <w:jc w:val="both"/>
                            </w:pPr>
                            <w:bookmarkStart w:id="1" w:name="docs-internal-guid-722a6dfc-7fff-2462-1b"/>
                            <w:bookmarkEnd w:id="1"/>
                            <w:r w:rsidRPr="006042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Explorar a ocorrência da trombose venosa profunda durante a infecção aguda causada pelo SARS-COV2 e o efeito do tratamento anticoagulante na resolução dos quadros de tendência pró-trombótica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F8DCA3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ACD170" w14:textId="70CD0B2B" w:rsidR="0004586F" w:rsidRDefault="0004586F" w:rsidP="002D3837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docs-internal-guid-05162767-7fff-8456-99"/>
                            <w:bookmarkEnd w:id="2"/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Realizada uma revisão de literatura do tipo exploratória, através de pesquisas feitas com base em artigos completos da Biblioteca Virtual em Saúde (BVS)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Para essa seleção, foram utilizados os descritores 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“Anticoagulantes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Citocinas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Coagulação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Coronavírus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2D3837" w:rsidRP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Fibrina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em associação ao operador booleano AND, limitando-se a trabalhos</w:t>
                            </w:r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publicados nos últimos três anos</w:t>
                            </w:r>
                            <w:r w:rsidR="000B1E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idiomas português, inglês e espanhol</w:t>
                            </w:r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D38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Inicialmente</w:t>
                            </w:r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</w:t>
                            </w:r>
                            <w:r w:rsidR="00CE7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pré-selecionados</w:t>
                            </w:r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13 artigos, dos quais 8 foram selecionados</w:t>
                            </w:r>
                            <w:r w:rsidR="00CE7A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após leitura completa</w:t>
                            </w:r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melhor se relacionarem ao tema.</w:t>
                            </w:r>
                          </w:p>
                          <w:p w14:paraId="3BC47D96" w14:textId="77777777" w:rsidR="002D3837" w:rsidRDefault="002D3837" w:rsidP="002D3837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EF8DCA5" w14:textId="3552CDC5" w:rsidR="00324E01" w:rsidRDefault="00FA0655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85B32F" w14:textId="77777777" w:rsidR="0004586F" w:rsidRDefault="0004586F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3" w:name="docs-internal-guid-ae51f2fb-7fff-872f-c8"/>
                            <w:bookmarkEnd w:id="3"/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achados laboratoriais dos pacientes infectados pelo SARS-COV2 apresentam níveis de fibrinogênio, proteína C reativa e, especialmente, D-dímero elevados. Este é resultado da degradação de fibrina e tem sido evidenciado nos casos mais graves e picos da doença. Uma vez gerado aumento da formação de fibrina e diminuição da fibrinólise endógena, estabelece-se um estado pró-trombótico favorável a ocorrência de tromboembolismo venoso. Têm sido comprovados os efeitos significativos da profilaxia e terapia anticoagulantes nos pacientes que desenvolvem quadros clínicos moderados a graves da COVID-19. Tal tratamento se dá por meio da administração de heparina ou de sua associação com outra droga em doses limitadas, visto que segundo estudos doses mais elevadas não repercutem positivamente. </w:t>
                            </w:r>
                          </w:p>
                          <w:p w14:paraId="2EF8DCA7" w14:textId="6AD3342E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A94D0BE" w14:textId="77777777" w:rsidR="0004586F" w:rsidRDefault="0004586F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4" w:name="docs-internal-guid-c81ffd66-7fff-75c8-ac"/>
                            <w:bookmarkEnd w:id="4"/>
                            <w:r w:rsidRP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infecção gerada pelo novo coronavírus aumenta os riscos de hipercoagulabilidade através da alta liberação de citocinas inflamatórias na cascata de coagulação. A resolução desse estado deve ser implantada através da profilaxia e terapia anticoagulante nos pacientes com agravamento da doença.</w:t>
                            </w:r>
                          </w:p>
                          <w:p w14:paraId="2EF8DCA9" w14:textId="29B6883A" w:rsidR="00324E01" w:rsidRDefault="00FA0655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DD072EC" w14:textId="77777777" w:rsidR="0004586F" w:rsidRDefault="0004586F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586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Anticoagulantes. Citocinas. Coagulação. Coronavírus. Fibrina.</w:t>
                            </w:r>
                          </w:p>
                          <w:p w14:paraId="66190046" w14:textId="77777777" w:rsidR="0004586F" w:rsidRDefault="0004586F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EF8DCAB" w14:textId="40D5D353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EF8DCAC" w14:textId="77777777" w:rsidR="00324E01" w:rsidRDefault="00324E01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F8DCAD" w14:textId="7178D507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João Pessoa, PB</w:t>
                            </w:r>
                          </w:p>
                          <w:p w14:paraId="2EF8DCAE" w14:textId="55D85CEF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458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 pela Faculdade de Medicina Nova Esperança, PB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7" id="Caixa de Texto 21" o:spid="_x0000_s1028" style="position:absolute;margin-left:11.25pt;margin-top:204.75pt;width:527pt;height:636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" filled="f" stroked="f" strokeweight=".18mm">
                <v:textbox>
                  <w:txbxContent>
                    <w:p w14:paraId="2EF8DC9F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INTRODUÇÃO: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AB3EC3" w14:textId="77777777" w:rsidR="006042F3" w:rsidRDefault="006042F3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5" w:name="docs-internal-guid-f8a57e39-7fff-9242-6b"/>
                      <w:bookmarkEnd w:id="5"/>
                      <w:r w:rsidRP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eventos pró-trombóticos são recorrentes durante o processo inflamatório gerado pelo novo coronavírus, o qual utiliza a ECA-2 como receptor, desregulando a cascata de coagulação. Isso se deve aos mecanismos fisiopatológicos das infecções agudas que desencadeiam o estado de hipercoagulabilidade.</w:t>
                      </w:r>
                    </w:p>
                    <w:p w14:paraId="2EF8DCA1" w14:textId="56A164F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F8DCA2" w14:textId="6F017825" w:rsidR="00324E01" w:rsidRDefault="006042F3">
                      <w:pPr>
                        <w:jc w:val="both"/>
                      </w:pPr>
                      <w:bookmarkStart w:id="6" w:name="docs-internal-guid-722a6dfc-7fff-2462-1b"/>
                      <w:bookmarkEnd w:id="6"/>
                      <w:r w:rsidRPr="006042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Explorar a ocorrência da trombose venosa profunda durante a infecção aguda causada pelo SARS-COV2 e o efeito do tratamento anticoagulante na resolução dos quadros de tendência pró-trombótica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F8DCA3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ACD170" w14:textId="70CD0B2B" w:rsidR="0004586F" w:rsidRDefault="0004586F" w:rsidP="002D3837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7" w:name="docs-internal-guid-05162767-7fff-8456-99"/>
                      <w:bookmarkEnd w:id="7"/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Realizada uma revisão de literatura do tipo exploratória, através de pesquisas feitas com base em artigos completos da Biblioteca Virtual em Saúde (BVS)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Para essa seleção, foram utilizados os descritores 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“Anticoagulantes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Citocinas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Coagulação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2D3837" w:rsidRP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Fibrina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em associação ao operador booleano AND, limitando-se a trabalhos</w:t>
                      </w:r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publicados nos últimos três anos</w:t>
                      </w:r>
                      <w:r w:rsidR="000B1E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nos idiomas português, inglês e espanhol</w:t>
                      </w:r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2D38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Inicialmente</w:t>
                      </w:r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</w:t>
                      </w:r>
                      <w:r w:rsidR="00CE7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pré-selecionados</w:t>
                      </w:r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13 artigos, dos quais 8 foram selecionados</w:t>
                      </w:r>
                      <w:r w:rsidR="00CE7A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após leitura completa</w:t>
                      </w:r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melhor se relacionarem ao tema.</w:t>
                      </w:r>
                    </w:p>
                    <w:p w14:paraId="3BC47D96" w14:textId="77777777" w:rsidR="002D3837" w:rsidRDefault="002D3837" w:rsidP="002D3837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EF8DCA5" w14:textId="3552CDC5" w:rsidR="00324E01" w:rsidRDefault="00FA0655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85B32F" w14:textId="77777777" w:rsidR="0004586F" w:rsidRDefault="0004586F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8" w:name="docs-internal-guid-ae51f2fb-7fff-872f-c8"/>
                      <w:bookmarkEnd w:id="8"/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achados laboratoriais dos pacientes infectados pelo SARS-COV2 apresentam níveis de fibrinogênio, proteína C reativa e, especialmente, D-dímero elevados. Este é resultado da degradação de fibrina e tem sido evidenciado nos casos mais graves e picos da doença. Uma vez gerado aumento da formação de fibrina e diminuição da fibrinólise endógena, estabelece-se um estado pró-trombótico favorável a ocorrência de tromboembolismo venoso. Têm sido comprovados os efeitos significativos da profilaxia e terapia anticoagulantes nos pacientes que desenvolvem quadros clínicos moderados a graves da COVID-19. Tal tratamento se dá por meio da administração de heparina ou de sua associação com outra droga em doses limitadas, visto que segundo estudos doses mais elevadas não repercutem positivamente. </w:t>
                      </w:r>
                    </w:p>
                    <w:p w14:paraId="2EF8DCA7" w14:textId="6AD3342E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A94D0BE" w14:textId="77777777" w:rsidR="0004586F" w:rsidRDefault="0004586F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9" w:name="docs-internal-guid-c81ffd66-7fff-75c8-ac"/>
                      <w:bookmarkEnd w:id="9"/>
                      <w:r w:rsidRP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infecção gerada pelo novo coronavírus aumenta os riscos de hipercoagulabilidade através da alta liberação de citocinas inflamatórias na cascata de coagulação. A resolução desse estado deve ser implantada através da profilaxia e terapia anticoagulante nos pacientes com agravamento da doença.</w:t>
                      </w:r>
                    </w:p>
                    <w:p w14:paraId="2EF8DCA9" w14:textId="29B6883A" w:rsidR="00324E01" w:rsidRDefault="00FA0655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DD072EC" w14:textId="77777777" w:rsidR="0004586F" w:rsidRDefault="0004586F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586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Anticoagulantes. Citocinas. Coagulação. Coronavírus. Fibrina.</w:t>
                      </w:r>
                    </w:p>
                    <w:p w14:paraId="66190046" w14:textId="77777777" w:rsidR="0004586F" w:rsidRDefault="0004586F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EF8DCAB" w14:textId="40D5D353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EF8DCAC" w14:textId="77777777" w:rsidR="00324E01" w:rsidRDefault="00324E01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F8DCAD" w14:textId="7178D507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João Pessoa, PB</w:t>
                      </w:r>
                    </w:p>
                    <w:p w14:paraId="2EF8DCAE" w14:textId="55D85CEF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4586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 pela Faculdade de Medicina Nova Esperança, PB</w:t>
                      </w:r>
                    </w:p>
                  </w:txbxContent>
                </v:textbox>
              </v:rect>
            </w:pict>
          </mc:Fallback>
        </mc:AlternateContent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EF8DC99" wp14:editId="2EF8DC9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20700" cy="711200"/>
                <wp:effectExtent l="0" t="0" r="0" b="0"/>
                <wp:wrapNone/>
                <wp:docPr id="7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00" cy="710640"/>
                        </a:xfrm>
                        <a:prstGeom prst="rect">
                          <a:avLst/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id="shape_0" ID="Retângulo 23" stroked="f" style="position:absolute;margin-left:501pt;margin-top:774.75pt;width:40.9pt;height:55.9pt" wp14:anchorId="7407F48E">
                <w10:wrap type="none"/>
                <v:imagedata r:id="rId7" o:detectmouseclick="t"/>
                <v:stroke color="#3465a4" weight="12600" joinstyle="miter" endcap="flat"/>
              </v:rect>
            </w:pict>
          </mc:Fallback>
        </mc:AlternateContent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EF8DC9B" wp14:editId="2EF8DC9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701925" cy="263525"/>
                <wp:effectExtent l="0" t="0" r="0" b="0"/>
                <wp:wrapNone/>
                <wp:docPr id="8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440" cy="2628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AF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8">
                              <w:r>
                                <w:rPr>
                                  <w:rStyle w:val="Internet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2EF8DC9B" id="Caixa de Texto 24" o:spid="_x0000_s1029" style="position:absolute;margin-left:307.5pt;margin-top:812.95pt;width:212.75pt;height:20.75pt;z-index: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" filled="f" stroked="f" strokeweight=".18mm">
                <v:textbox>
                  <w:txbxContent>
                    <w:p w14:paraId="2EF8DCAF" w14:textId="77777777" w:rsidR="00324E01" w:rsidRDefault="00FA0655">
                      <w:pPr>
                        <w:pStyle w:val="FrameContents"/>
                        <w:spacing w:after="0" w:line="240" w:lineRule="auto"/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Apoio: </w:t>
                      </w:r>
                      <w:hyperlink r:id="rId9">
                        <w:r>
                          <w:rPr>
                            <w:rStyle w:val="Internet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4E01">
      <w:pgSz w:w="11906" w:h="16838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DejaVu Sans">
    <w:altName w:val="Verdana"/>
    <w:panose1 w:val="020B0604020202020204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E01"/>
    <w:rsid w:val="00033D6C"/>
    <w:rsid w:val="0004586F"/>
    <w:rsid w:val="000A2836"/>
    <w:rsid w:val="000B1ED4"/>
    <w:rsid w:val="001A5C88"/>
    <w:rsid w:val="002D3837"/>
    <w:rsid w:val="002F343C"/>
    <w:rsid w:val="00324E01"/>
    <w:rsid w:val="003262AC"/>
    <w:rsid w:val="003749FA"/>
    <w:rsid w:val="004A4136"/>
    <w:rsid w:val="004C4966"/>
    <w:rsid w:val="005B0B30"/>
    <w:rsid w:val="006042F3"/>
    <w:rsid w:val="007D0ACB"/>
    <w:rsid w:val="00897D04"/>
    <w:rsid w:val="008F3F32"/>
    <w:rsid w:val="00A67987"/>
    <w:rsid w:val="00CE2041"/>
    <w:rsid w:val="00CE7A1F"/>
    <w:rsid w:val="00D578BE"/>
    <w:rsid w:val="00E56B73"/>
    <w:rsid w:val="00E73A29"/>
    <w:rsid w:val="00ED7D7A"/>
    <w:rsid w:val="00F3549F"/>
    <w:rsid w:val="00FA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DC90"/>
  <w15:docId w15:val="{691C10BE-2B85-48C7-A247-CE28938A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32CF"/>
  </w:style>
  <w:style w:type="character" w:customStyle="1" w:styleId="RodapChar">
    <w:name w:val="Rodapé Char"/>
    <w:basedOn w:val="Fontepargpadro"/>
    <w:link w:val="Rodap"/>
    <w:uiPriority w:val="99"/>
    <w:qFormat/>
    <w:rsid w:val="000B32CF"/>
  </w:style>
  <w:style w:type="character" w:customStyle="1" w:styleId="InternetLink">
    <w:name w:val="Internet 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ListLabel1">
    <w:name w:val="ListLabel 1"/>
    <w:qFormat/>
    <w:rPr>
      <w:b/>
      <w:color w:val="FFFFFF" w:themeColor="background1"/>
      <w:sz w:val="16"/>
      <w:szCs w:val="16"/>
    </w:rPr>
  </w:style>
  <w:style w:type="character" w:customStyle="1" w:styleId="ListLabel2">
    <w:name w:val="ListLabel 2"/>
    <w:qFormat/>
    <w:rPr>
      <w:b/>
      <w:color w:val="FFFFFF" w:themeColor="background1"/>
      <w:sz w:val="16"/>
      <w:szCs w:val="16"/>
    </w:rPr>
  </w:style>
  <w:style w:type="character" w:customStyle="1" w:styleId="ListLabel3">
    <w:name w:val="ListLabel 3"/>
    <w:qFormat/>
    <w:rPr>
      <w:b/>
      <w:color w:val="FFFFFF" w:themeColor="background1"/>
      <w:sz w:val="16"/>
      <w:szCs w:val="16"/>
    </w:rPr>
  </w:style>
  <w:style w:type="character" w:customStyle="1" w:styleId="ListLabel4">
    <w:name w:val="ListLabel 4"/>
    <w:qFormat/>
    <w:rPr>
      <w:b/>
      <w:color w:val="FFFFFF" w:themeColor="background1"/>
      <w:sz w:val="16"/>
      <w:szCs w:val="16"/>
    </w:rPr>
  </w:style>
  <w:style w:type="character" w:customStyle="1" w:styleId="ListLabel5">
    <w:name w:val="ListLabel 5"/>
    <w:qFormat/>
    <w:rPr>
      <w:b/>
      <w:color w:val="FFFFFF" w:themeColor="background1"/>
      <w:sz w:val="16"/>
      <w:szCs w:val="16"/>
    </w:rPr>
  </w:style>
  <w:style w:type="character" w:customStyle="1" w:styleId="ListLabel6">
    <w:name w:val="ListLabel 6"/>
    <w:qFormat/>
    <w:rPr>
      <w:b/>
      <w:color w:val="FFFFFF" w:themeColor="background1"/>
      <w:sz w:val="16"/>
      <w:szCs w:val="16"/>
    </w:rPr>
  </w:style>
  <w:style w:type="character" w:customStyle="1" w:styleId="ListLabel7">
    <w:name w:val="ListLabel 7"/>
    <w:qFormat/>
    <w:rPr>
      <w:b/>
      <w:color w:val="FFFFFF" w:themeColor="background1"/>
      <w:sz w:val="16"/>
      <w:szCs w:val="16"/>
    </w:rPr>
  </w:style>
  <w:style w:type="character" w:customStyle="1" w:styleId="ListLabel8">
    <w:name w:val="ListLabel 8"/>
    <w:qFormat/>
    <w:rPr>
      <w:b/>
      <w:color w:val="FFFFFF" w:themeColor="background1"/>
      <w:sz w:val="16"/>
      <w:szCs w:val="16"/>
    </w:rPr>
  </w:style>
  <w:style w:type="character" w:customStyle="1" w:styleId="ListLabel9">
    <w:name w:val="ListLabel 9"/>
    <w:qFormat/>
    <w:rPr>
      <w:b/>
      <w:color w:val="FFFFFF" w:themeColor="background1"/>
      <w:sz w:val="16"/>
      <w:szCs w:val="16"/>
    </w:rPr>
  </w:style>
  <w:style w:type="character" w:customStyle="1" w:styleId="ListLabel10">
    <w:name w:val="ListLabel 10"/>
    <w:qFormat/>
    <w:rPr>
      <w:b/>
      <w:color w:val="FFFFFF" w:themeColor="background1"/>
      <w:sz w:val="16"/>
      <w:szCs w:val="16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itorapasteur.com.br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1CA14-728B-451C-8607-F72EBA9FC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Luana Villarim</cp:lastModifiedBy>
  <cp:revision>2</cp:revision>
  <dcterms:created xsi:type="dcterms:W3CDTF">2021-06-04T04:26:00Z</dcterms:created>
  <dcterms:modified xsi:type="dcterms:W3CDTF">2021-06-04T04:26:00Z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