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64C17" w:rsidRDefault="00C76512">
      <w:bookmarkStart w:id="0" w:name="_gjdgxs" w:colFirst="0" w:colLast="0"/>
      <w:bookmarkEnd w:id="0"/>
      <w:r>
        <w:rPr>
          <w:noProof/>
        </w:rPr>
        <w:drawing>
          <wp:inline distT="0" distB="0" distL="0" distR="0">
            <wp:extent cx="7555154" cy="10685691"/>
            <wp:effectExtent l="0" t="0" r="0" b="0"/>
            <wp:docPr id="6" name="image1.png" descr="C:\Users\Acer\Desktop\EDITORA\evento parceiro publicação dos anais e premiados CIS\MODELO DO RESUMO.png"/>
            <wp:cNvGraphicFramePr/>
            <a:graphic xmlns:a="http://schemas.openxmlformats.org/drawingml/2006/main">
              <a:graphicData uri="http://schemas.openxmlformats.org/drawingml/2006/picture">
                <pic:pic xmlns:pic="http://schemas.openxmlformats.org/drawingml/2006/picture">
                  <pic:nvPicPr>
                    <pic:cNvPr id="0" name="image1.png" descr="C:\Users\Acer\Desktop\EDITORA\evento parceiro publicação dos anais e premiados CIS\MODELO DO RESUMO.png"/>
                    <pic:cNvPicPr preferRelativeResize="0"/>
                  </pic:nvPicPr>
                  <pic:blipFill>
                    <a:blip r:embed="rId4"/>
                    <a:srcRect/>
                    <a:stretch>
                      <a:fillRect/>
                    </a:stretch>
                  </pic:blipFill>
                  <pic:spPr>
                    <a:xfrm>
                      <a:off x="0" y="0"/>
                      <a:ext cx="7555154" cy="10685691"/>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165100</wp:posOffset>
                </wp:positionH>
                <wp:positionV relativeFrom="paragraph">
                  <wp:posOffset>279400</wp:posOffset>
                </wp:positionV>
                <wp:extent cx="4781550" cy="1359367"/>
                <wp:effectExtent l="0" t="0" r="0" b="0"/>
                <wp:wrapNone/>
                <wp:docPr id="3" name="Retângulo 3"/>
                <wp:cNvGraphicFramePr/>
                <a:graphic xmlns:a="http://schemas.openxmlformats.org/drawingml/2006/main">
                  <a:graphicData uri="http://schemas.microsoft.com/office/word/2010/wordprocessingShape">
                    <wps:wsp>
                      <wps:cNvSpPr/>
                      <wps:spPr>
                        <a:xfrm>
                          <a:off x="2959988" y="3108488"/>
                          <a:ext cx="4772025" cy="1343025"/>
                        </a:xfrm>
                        <a:prstGeom prst="rect">
                          <a:avLst/>
                        </a:prstGeom>
                        <a:noFill/>
                        <a:ln>
                          <a:noFill/>
                        </a:ln>
                      </wps:spPr>
                      <wps:txbx>
                        <w:txbxContent>
                          <w:p w14:paraId="185DD377" w14:textId="77777777" w:rsidR="00164C17" w:rsidRDefault="00C76512">
                            <w:pPr>
                              <w:spacing w:line="258" w:lineRule="auto"/>
                              <w:jc w:val="center"/>
                              <w:textDirection w:val="btLr"/>
                            </w:pPr>
                            <w:r>
                              <w:rPr>
                                <w:rFonts w:ascii="Bookman Old Style" w:eastAsia="Bookman Old Style" w:hAnsi="Bookman Old Style" w:cs="Bookman Old Style"/>
                                <w:color w:val="C5E0B3"/>
                                <w:sz w:val="40"/>
                              </w:rPr>
                              <w:t>O Diagnóstico De Ateromas De Carótidas Em Radiografias Panorâmicas: Revisão De Literatura.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4781550" cy="1359367"/>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781550" cy="135936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38101</wp:posOffset>
                </wp:positionH>
                <wp:positionV relativeFrom="paragraph">
                  <wp:posOffset>1625600</wp:posOffset>
                </wp:positionV>
                <wp:extent cx="5019675" cy="579925"/>
                <wp:effectExtent l="0" t="0" r="0" b="0"/>
                <wp:wrapNone/>
                <wp:docPr id="1" name="Retângulo 1"/>
                <wp:cNvGraphicFramePr/>
                <a:graphic xmlns:a="http://schemas.openxmlformats.org/drawingml/2006/main">
                  <a:graphicData uri="http://schemas.microsoft.com/office/word/2010/wordprocessingShape">
                    <wps:wsp>
                      <wps:cNvSpPr/>
                      <wps:spPr>
                        <a:xfrm>
                          <a:off x="2840925" y="3499013"/>
                          <a:ext cx="5010150" cy="561975"/>
                        </a:xfrm>
                        <a:prstGeom prst="rect">
                          <a:avLst/>
                        </a:prstGeom>
                        <a:noFill/>
                        <a:ln>
                          <a:noFill/>
                        </a:ln>
                      </wps:spPr>
                      <wps:txbx>
                        <w:txbxContent>
                          <w:p w14:paraId="5F67A0A5" w14:textId="77777777" w:rsidR="00164C17" w:rsidRDefault="00C76512">
                            <w:pPr>
                              <w:spacing w:line="258" w:lineRule="auto"/>
                              <w:jc w:val="both"/>
                              <w:textDirection w:val="btLr"/>
                            </w:pPr>
                            <w:r>
                              <w:rPr>
                                <w:rFonts w:ascii="Bookman Old Style" w:eastAsia="Bookman Old Style" w:hAnsi="Bookman Old Style" w:cs="Bookman Old Style"/>
                                <w:color w:val="FFFFFF"/>
                                <w:sz w:val="20"/>
                              </w:rPr>
                              <w:t>Autores: Mariane Vitória Vieira Sousa</w:t>
                            </w:r>
                            <w:r>
                              <w:rPr>
                                <w:rFonts w:ascii="Bookman Old Style" w:eastAsia="Bookman Old Style" w:hAnsi="Bookman Old Style" w:cs="Bookman Old Style"/>
                                <w:color w:val="FFFFFF"/>
                                <w:sz w:val="20"/>
                                <w:vertAlign w:val="superscript"/>
                              </w:rPr>
                              <w:t>1</w:t>
                            </w:r>
                            <w:r>
                              <w:rPr>
                                <w:rFonts w:ascii="Bookman Old Style" w:eastAsia="Bookman Old Style" w:hAnsi="Bookman Old Style" w:cs="Bookman Old Style"/>
                                <w:color w:val="FFFFFF"/>
                                <w:sz w:val="20"/>
                              </w:rPr>
                              <w:t xml:space="preserve">, </w:t>
                            </w:r>
                            <w:proofErr w:type="spellStart"/>
                            <w:r>
                              <w:rPr>
                                <w:rFonts w:ascii="Bookman Old Style" w:eastAsia="Bookman Old Style" w:hAnsi="Bookman Old Style" w:cs="Bookman Old Style"/>
                                <w:color w:val="FFFFFF"/>
                                <w:sz w:val="20"/>
                              </w:rPr>
                              <w:t>Thamyres</w:t>
                            </w:r>
                            <w:proofErr w:type="spellEnd"/>
                            <w:r>
                              <w:rPr>
                                <w:rFonts w:ascii="Bookman Old Style" w:eastAsia="Bookman Old Style" w:hAnsi="Bookman Old Style" w:cs="Bookman Old Style"/>
                                <w:color w:val="FFFFFF"/>
                                <w:sz w:val="20"/>
                              </w:rPr>
                              <w:t xml:space="preserve"> Ferreira da Silva</w:t>
                            </w:r>
                            <w:r>
                              <w:rPr>
                                <w:rFonts w:ascii="Bookman Old Style" w:eastAsia="Bookman Old Style" w:hAnsi="Bookman Old Style" w:cs="Bookman Old Style"/>
                                <w:color w:val="FFFFFF"/>
                                <w:sz w:val="20"/>
                                <w:vertAlign w:val="superscript"/>
                              </w:rPr>
                              <w:t>2</w:t>
                            </w:r>
                            <w:r>
                              <w:rPr>
                                <w:rFonts w:ascii="Bookman Old Style" w:eastAsia="Bookman Old Style" w:hAnsi="Bookman Old Style" w:cs="Bookman Old Style"/>
                                <w:color w:val="FFFFFF"/>
                                <w:sz w:val="20"/>
                              </w:rPr>
                              <w:t>, Bruno Fontenele Carvalho³.</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1625600</wp:posOffset>
                </wp:positionV>
                <wp:extent cx="5019675" cy="57992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019675" cy="5799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127000</wp:posOffset>
                </wp:positionH>
                <wp:positionV relativeFrom="paragraph">
                  <wp:posOffset>2590800</wp:posOffset>
                </wp:positionV>
                <wp:extent cx="6696075" cy="7561619"/>
                <wp:effectExtent l="0" t="0" r="0" b="0"/>
                <wp:wrapNone/>
                <wp:docPr id="4" name="Retângulo 4"/>
                <wp:cNvGraphicFramePr/>
                <a:graphic xmlns:a="http://schemas.openxmlformats.org/drawingml/2006/main">
                  <a:graphicData uri="http://schemas.microsoft.com/office/word/2010/wordprocessingShape">
                    <wps:wsp>
                      <wps:cNvSpPr/>
                      <wps:spPr>
                        <a:xfrm>
                          <a:off x="2002725" y="0"/>
                          <a:ext cx="6686550" cy="7560000"/>
                        </a:xfrm>
                        <a:prstGeom prst="rect">
                          <a:avLst/>
                        </a:prstGeom>
                        <a:noFill/>
                        <a:ln>
                          <a:noFill/>
                        </a:ln>
                      </wps:spPr>
                      <wps:txbx>
                        <w:txbxContent>
                          <w:p w14:paraId="67D03424" w14:textId="77777777" w:rsidR="00164C17" w:rsidRDefault="00C76512">
                            <w:pPr>
                              <w:jc w:val="both"/>
                              <w:textDirection w:val="btLr"/>
                            </w:pPr>
                            <w:r>
                              <w:rPr>
                                <w:rFonts w:ascii="Bookman Old Style" w:eastAsia="Bookman Old Style" w:hAnsi="Bookman Old Style" w:cs="Bookman Old Style"/>
                                <w:b/>
                                <w:color w:val="C5E0B3"/>
                                <w:sz w:val="20"/>
                              </w:rPr>
                              <w:t>INTRODUÇÃO</w:t>
                            </w:r>
                            <w:r>
                              <w:rPr>
                                <w:rFonts w:ascii="Bookman Old Style" w:eastAsia="Bookman Old Style" w:hAnsi="Bookman Old Style" w:cs="Bookman Old Style"/>
                                <w:color w:val="C5E0B3"/>
                                <w:sz w:val="20"/>
                              </w:rPr>
                              <w:br/>
                            </w:r>
                            <w:r>
                              <w:rPr>
                                <w:rFonts w:ascii="Bookman Old Style" w:eastAsia="Bookman Old Style" w:hAnsi="Bookman Old Style" w:cs="Bookman Old Style"/>
                                <w:color w:val="FFFFFF"/>
                                <w:sz w:val="20"/>
                              </w:rPr>
                              <w:t>A aterosclerose é um problema de saúde pública causado pela deposição de células de gordura inflamatórias nas paredes dos vasos, assim, formando placas de ateroma. Podem ser diagnosticadas por meio de exames odontológicos de rotina como a radiografia panor</w:t>
                            </w:r>
                            <w:r>
                              <w:rPr>
                                <w:rFonts w:ascii="Bookman Old Style" w:eastAsia="Bookman Old Style" w:hAnsi="Bookman Old Style" w:cs="Bookman Old Style"/>
                                <w:color w:val="FFFFFF"/>
                                <w:sz w:val="20"/>
                              </w:rPr>
                              <w:t>âmica e pela ultrassonografia.</w:t>
                            </w:r>
                          </w:p>
                          <w:p w14:paraId="396D49E1" w14:textId="77777777" w:rsidR="00164C17" w:rsidRDefault="00C76512">
                            <w:pPr>
                              <w:jc w:val="both"/>
                              <w:textDirection w:val="btLr"/>
                            </w:pPr>
                            <w:r>
                              <w:rPr>
                                <w:rFonts w:ascii="Bookman Old Style" w:eastAsia="Bookman Old Style" w:hAnsi="Bookman Old Style" w:cs="Bookman Old Style"/>
                                <w:b/>
                                <w:color w:val="C5E0B3"/>
                                <w:sz w:val="20"/>
                              </w:rPr>
                              <w:t>OBJETIVO</w:t>
                            </w:r>
                            <w:r>
                              <w:rPr>
                                <w:rFonts w:ascii="Bookman Old Style" w:eastAsia="Bookman Old Style" w:hAnsi="Bookman Old Style" w:cs="Bookman Old Style"/>
                                <w:color w:val="FFFFFF"/>
                                <w:sz w:val="20"/>
                              </w:rPr>
                              <w:br/>
                              <w:t>Esta revisão de literatura tem como objetivo discorrer sobre o desenvolvimento do ateroma de carótida e seu diagnóstico através de exames radiográficos, contando com a integração entre dentistas e médicos em uma abor</w:t>
                            </w:r>
                            <w:r>
                              <w:rPr>
                                <w:rFonts w:ascii="Bookman Old Style" w:eastAsia="Bookman Old Style" w:hAnsi="Bookman Old Style" w:cs="Bookman Old Style"/>
                                <w:color w:val="FFFFFF"/>
                                <w:sz w:val="20"/>
                              </w:rPr>
                              <w:t>dagem precoce e assertiva.</w:t>
                            </w:r>
                          </w:p>
                          <w:p w14:paraId="30B81FCB" w14:textId="77777777" w:rsidR="00164C17" w:rsidRDefault="00C76512">
                            <w:pPr>
                              <w:jc w:val="both"/>
                              <w:textDirection w:val="btLr"/>
                            </w:pPr>
                            <w:r>
                              <w:rPr>
                                <w:rFonts w:ascii="Bookman Old Style" w:eastAsia="Bookman Old Style" w:hAnsi="Bookman Old Style" w:cs="Bookman Old Style"/>
                                <w:b/>
                                <w:color w:val="C5E0B3"/>
                                <w:sz w:val="20"/>
                              </w:rPr>
                              <w:t>MÉTODO</w:t>
                            </w:r>
                            <w:r>
                              <w:rPr>
                                <w:rFonts w:ascii="Bookman Old Style" w:eastAsia="Bookman Old Style" w:hAnsi="Bookman Old Style" w:cs="Bookman Old Style"/>
                                <w:color w:val="000000"/>
                                <w:sz w:val="20"/>
                              </w:rPr>
                              <w:br/>
                            </w:r>
                            <w:r>
                              <w:rPr>
                                <w:rFonts w:ascii="Bookman Old Style" w:eastAsia="Bookman Old Style" w:hAnsi="Bookman Old Style" w:cs="Bookman Old Style"/>
                                <w:color w:val="FFFFFF"/>
                                <w:sz w:val="20"/>
                              </w:rPr>
                              <w:t xml:space="preserve">A seguinte revisão de literatura foi realizada nas bases de dados: </w:t>
                            </w:r>
                            <w:proofErr w:type="spellStart"/>
                            <w:r>
                              <w:rPr>
                                <w:rFonts w:ascii="Bookman Old Style" w:eastAsia="Bookman Old Style" w:hAnsi="Bookman Old Style" w:cs="Bookman Old Style"/>
                                <w:color w:val="FFFFFF"/>
                                <w:sz w:val="20"/>
                              </w:rPr>
                              <w:t>PubMed</w:t>
                            </w:r>
                            <w:proofErr w:type="spellEnd"/>
                            <w:r>
                              <w:rPr>
                                <w:rFonts w:ascii="Bookman Old Style" w:eastAsia="Bookman Old Style" w:hAnsi="Bookman Old Style" w:cs="Bookman Old Style"/>
                                <w:color w:val="FFFFFF"/>
                                <w:sz w:val="20"/>
                              </w:rPr>
                              <w:t xml:space="preserve">, </w:t>
                            </w:r>
                            <w:proofErr w:type="spellStart"/>
                            <w:r>
                              <w:rPr>
                                <w:rFonts w:ascii="Bookman Old Style" w:eastAsia="Bookman Old Style" w:hAnsi="Bookman Old Style" w:cs="Bookman Old Style"/>
                                <w:color w:val="FFFFFF"/>
                                <w:sz w:val="20"/>
                              </w:rPr>
                              <w:t>Scielo</w:t>
                            </w:r>
                            <w:proofErr w:type="spellEnd"/>
                            <w:r>
                              <w:rPr>
                                <w:rFonts w:ascii="Bookman Old Style" w:eastAsia="Bookman Old Style" w:hAnsi="Bookman Old Style" w:cs="Bookman Old Style"/>
                                <w:color w:val="FFFFFF"/>
                                <w:sz w:val="20"/>
                              </w:rPr>
                              <w:t xml:space="preserve">, </w:t>
                            </w:r>
                            <w:proofErr w:type="gramStart"/>
                            <w:r>
                              <w:rPr>
                                <w:rFonts w:ascii="Bookman Old Style" w:eastAsia="Bookman Old Style" w:hAnsi="Bookman Old Style" w:cs="Bookman Old Style"/>
                                <w:color w:val="FFFFFF"/>
                                <w:sz w:val="20"/>
                              </w:rPr>
                              <w:t>LILACS ,</w:t>
                            </w:r>
                            <w:proofErr w:type="gramEnd"/>
                            <w:r>
                              <w:rPr>
                                <w:rFonts w:ascii="Bookman Old Style" w:eastAsia="Bookman Old Style" w:hAnsi="Bookman Old Style" w:cs="Bookman Old Style"/>
                                <w:color w:val="FFFFFF"/>
                                <w:sz w:val="20"/>
                              </w:rPr>
                              <w:t xml:space="preserve"> Revista Brasileira de Odontologia, </w:t>
                            </w:r>
                            <w:proofErr w:type="spellStart"/>
                            <w:r>
                              <w:rPr>
                                <w:rFonts w:ascii="Bookman Old Style" w:eastAsia="Bookman Old Style" w:hAnsi="Bookman Old Style" w:cs="Bookman Old Style"/>
                                <w:color w:val="FFFFFF"/>
                                <w:sz w:val="20"/>
                              </w:rPr>
                              <w:t>Journal</w:t>
                            </w:r>
                            <w:proofErr w:type="spellEnd"/>
                            <w:r>
                              <w:rPr>
                                <w:rFonts w:ascii="Bookman Old Style" w:eastAsia="Bookman Old Style" w:hAnsi="Bookman Old Style" w:cs="Bookman Old Style"/>
                                <w:color w:val="FFFFFF"/>
                                <w:sz w:val="20"/>
                              </w:rPr>
                              <w:t xml:space="preserve"> </w:t>
                            </w:r>
                            <w:proofErr w:type="spellStart"/>
                            <w:r>
                              <w:rPr>
                                <w:rFonts w:ascii="Bookman Old Style" w:eastAsia="Bookman Old Style" w:hAnsi="Bookman Old Style" w:cs="Bookman Old Style"/>
                                <w:color w:val="FFFFFF"/>
                                <w:sz w:val="20"/>
                              </w:rPr>
                              <w:t>of</w:t>
                            </w:r>
                            <w:proofErr w:type="spellEnd"/>
                            <w:r>
                              <w:rPr>
                                <w:rFonts w:ascii="Bookman Old Style" w:eastAsia="Bookman Old Style" w:hAnsi="Bookman Old Style" w:cs="Bookman Old Style"/>
                                <w:color w:val="FFFFFF"/>
                                <w:sz w:val="20"/>
                              </w:rPr>
                              <w:t xml:space="preserve"> oral </w:t>
                            </w:r>
                            <w:proofErr w:type="spellStart"/>
                            <w:r>
                              <w:rPr>
                                <w:rFonts w:ascii="Bookman Old Style" w:eastAsia="Bookman Old Style" w:hAnsi="Bookman Old Style" w:cs="Bookman Old Style"/>
                                <w:color w:val="FFFFFF"/>
                                <w:sz w:val="20"/>
                              </w:rPr>
                              <w:t>investigations</w:t>
                            </w:r>
                            <w:proofErr w:type="spellEnd"/>
                            <w:r>
                              <w:rPr>
                                <w:rFonts w:ascii="Bookman Old Style" w:eastAsia="Bookman Old Style" w:hAnsi="Bookman Old Style" w:cs="Bookman Old Style"/>
                                <w:color w:val="FFFFFF"/>
                                <w:sz w:val="20"/>
                              </w:rPr>
                              <w:t xml:space="preserve"> e Jornal vascular brasileiro com uma busca ativa por artigos com</w:t>
                            </w:r>
                            <w:r>
                              <w:rPr>
                                <w:rFonts w:ascii="Bookman Old Style" w:eastAsia="Bookman Old Style" w:hAnsi="Bookman Old Style" w:cs="Bookman Old Style"/>
                                <w:color w:val="FFFFFF"/>
                                <w:sz w:val="20"/>
                              </w:rPr>
                              <w:t xml:space="preserve"> as seguintes palavras-chaves: placa aterosclerótica, radiografia panorâmica e diagnóstico precoce</w:t>
                            </w:r>
                            <w:r>
                              <w:rPr>
                                <w:rFonts w:ascii="Bookman Old Style" w:eastAsia="Bookman Old Style" w:hAnsi="Bookman Old Style" w:cs="Bookman Old Style"/>
                                <w:i/>
                                <w:color w:val="FFFFFF"/>
                                <w:sz w:val="20"/>
                              </w:rPr>
                              <w:t xml:space="preserve">, </w:t>
                            </w:r>
                            <w:r>
                              <w:rPr>
                                <w:rFonts w:ascii="Bookman Old Style" w:eastAsia="Bookman Old Style" w:hAnsi="Bookman Old Style" w:cs="Bookman Old Style"/>
                                <w:color w:val="FFFFFF"/>
                                <w:sz w:val="20"/>
                              </w:rPr>
                              <w:t xml:space="preserve">encontradas na plataforma digital </w:t>
                            </w:r>
                            <w:proofErr w:type="spellStart"/>
                            <w:r>
                              <w:rPr>
                                <w:rFonts w:ascii="Bookman Old Style" w:eastAsia="Bookman Old Style" w:hAnsi="Bookman Old Style" w:cs="Bookman Old Style"/>
                                <w:color w:val="FFFFFF"/>
                                <w:sz w:val="20"/>
                              </w:rPr>
                              <w:t>DeCS</w:t>
                            </w:r>
                            <w:proofErr w:type="spellEnd"/>
                            <w:r>
                              <w:rPr>
                                <w:rFonts w:ascii="Bookman Old Style" w:eastAsia="Bookman Old Style" w:hAnsi="Bookman Old Style" w:cs="Bookman Old Style"/>
                                <w:color w:val="FFFFFF"/>
                                <w:sz w:val="20"/>
                              </w:rPr>
                              <w:t xml:space="preserve"> ( Descritores em Ciências da Saúde). Após criteriosa análise de resumo, título e do texto na íntegra foram selecionad</w:t>
                            </w:r>
                            <w:r>
                              <w:rPr>
                                <w:rFonts w:ascii="Bookman Old Style" w:eastAsia="Bookman Old Style" w:hAnsi="Bookman Old Style" w:cs="Bookman Old Style"/>
                                <w:color w:val="FFFFFF"/>
                                <w:sz w:val="20"/>
                              </w:rPr>
                              <w:t xml:space="preserve">os </w:t>
                            </w:r>
                            <w:proofErr w:type="gramStart"/>
                            <w:r>
                              <w:rPr>
                                <w:rFonts w:ascii="Bookman Old Style" w:eastAsia="Bookman Old Style" w:hAnsi="Bookman Old Style" w:cs="Bookman Old Style"/>
                                <w:color w:val="FFFFFF"/>
                                <w:sz w:val="20"/>
                              </w:rPr>
                              <w:t>7  trabalhos</w:t>
                            </w:r>
                            <w:proofErr w:type="gramEnd"/>
                            <w:r>
                              <w:rPr>
                                <w:rFonts w:ascii="Bookman Old Style" w:eastAsia="Bookman Old Style" w:hAnsi="Bookman Old Style" w:cs="Bookman Old Style"/>
                                <w:color w:val="FFFFFF"/>
                                <w:sz w:val="20"/>
                              </w:rPr>
                              <w:t xml:space="preserve"> dos últimos 9 anos nas línguas” português” e “inglês” para entrarem na revisão com texto completo, gratuito e disponível para leitura. </w:t>
                            </w:r>
                          </w:p>
                          <w:p w14:paraId="22A88D88" w14:textId="77777777" w:rsidR="00164C17" w:rsidRDefault="00C76512">
                            <w:pPr>
                              <w:jc w:val="both"/>
                              <w:textDirection w:val="btLr"/>
                            </w:pPr>
                            <w:r>
                              <w:rPr>
                                <w:rFonts w:ascii="Bookman Old Style" w:eastAsia="Bookman Old Style" w:hAnsi="Bookman Old Style" w:cs="Bookman Old Style"/>
                                <w:b/>
                                <w:color w:val="C5E0B3"/>
                                <w:sz w:val="20"/>
                              </w:rPr>
                              <w:t>RESULTADOS</w:t>
                            </w:r>
                            <w:r>
                              <w:rPr>
                                <w:rFonts w:ascii="Bookman Old Style" w:eastAsia="Bookman Old Style" w:hAnsi="Bookman Old Style" w:cs="Bookman Old Style"/>
                                <w:b/>
                                <w:color w:val="C5E0B3"/>
                                <w:sz w:val="20"/>
                              </w:rPr>
                              <w:br/>
                            </w:r>
                            <w:r>
                              <w:rPr>
                                <w:rFonts w:ascii="Bookman Old Style" w:eastAsia="Bookman Old Style" w:hAnsi="Bookman Old Style" w:cs="Bookman Old Style"/>
                                <w:color w:val="FFFFFF"/>
                                <w:sz w:val="20"/>
                              </w:rPr>
                              <w:t>O ateroma causa a obstrução dos vasos, podendo levar ao Infarto Agudo do Miocárdio (IAM) e Ac</w:t>
                            </w:r>
                            <w:r>
                              <w:rPr>
                                <w:rFonts w:ascii="Bookman Old Style" w:eastAsia="Bookman Old Style" w:hAnsi="Bookman Old Style" w:cs="Bookman Old Style"/>
                                <w:color w:val="FFFFFF"/>
                                <w:sz w:val="20"/>
                              </w:rPr>
                              <w:t xml:space="preserve">identes Vasculares Encefálicos (AVE). Há fatores predisponentes, como: obesidade, hipertensão arterial, fumo, diabetes, sedentarismo, idade avançada e alto nível de colesterol. O diagnóstico inicial pode ser feito através de exame radiográfico panorâmico, </w:t>
                            </w:r>
                            <w:r>
                              <w:rPr>
                                <w:rFonts w:ascii="Bookman Old Style" w:eastAsia="Bookman Old Style" w:hAnsi="Bookman Old Style" w:cs="Bookman Old Style"/>
                                <w:color w:val="FFFFFF"/>
                                <w:sz w:val="20"/>
                              </w:rPr>
                              <w:t>muito usado por dentistas em procedimentos, nele o ateroma se apresenta inferior à região da mandíbula, com aspecto radiopaco. O diagnóstico não é concluído somente pela avaliação clínica, podendo ter uma complementação pela ultrassonografia, a qual é soli</w:t>
                            </w:r>
                            <w:r>
                              <w:rPr>
                                <w:rFonts w:ascii="Bookman Old Style" w:eastAsia="Bookman Old Style" w:hAnsi="Bookman Old Style" w:cs="Bookman Old Style"/>
                                <w:color w:val="FFFFFF"/>
                                <w:sz w:val="20"/>
                              </w:rPr>
                              <w:t>citada por um médico, possibilitando a avaliação do grau de obstrução da carótida e a correta localização do ateroma.</w:t>
                            </w:r>
                          </w:p>
                          <w:p w14:paraId="374A6BA1" w14:textId="77777777" w:rsidR="00164C17" w:rsidRDefault="00C76512">
                            <w:pPr>
                              <w:jc w:val="both"/>
                              <w:textDirection w:val="btLr"/>
                            </w:pPr>
                            <w:r>
                              <w:rPr>
                                <w:rFonts w:ascii="Bookman Old Style" w:eastAsia="Bookman Old Style" w:hAnsi="Bookman Old Style" w:cs="Bookman Old Style"/>
                                <w:b/>
                                <w:color w:val="C5E0B3"/>
                                <w:sz w:val="20"/>
                              </w:rPr>
                              <w:t>CONCLUSÃO</w:t>
                            </w:r>
                            <w:r>
                              <w:rPr>
                                <w:rFonts w:ascii="Bookman Old Style" w:eastAsia="Bookman Old Style" w:hAnsi="Bookman Old Style" w:cs="Bookman Old Style"/>
                                <w:color w:val="FFFFFF"/>
                                <w:sz w:val="20"/>
                              </w:rPr>
                              <w:br/>
                            </w:r>
                            <w:r>
                              <w:rPr>
                                <w:rFonts w:ascii="Bookman Old Style" w:eastAsia="Bookman Old Style" w:hAnsi="Bookman Old Style" w:cs="Bookman Old Style"/>
                                <w:color w:val="FFFFFF"/>
                                <w:sz w:val="20"/>
                              </w:rPr>
                              <w:t>A detecção do ateroma através das radiografias panorâmicas faz o dentista ter um papel fundamental nos encaminhamentos dos pacientes para tratamento médico, evitando possíveis complicações futuras, levando em consideração a alta taxa de mortalidade obtidas</w:t>
                            </w:r>
                            <w:r>
                              <w:rPr>
                                <w:rFonts w:ascii="Bookman Old Style" w:eastAsia="Bookman Old Style" w:hAnsi="Bookman Old Style" w:cs="Bookman Old Style"/>
                                <w:color w:val="FFFFFF"/>
                                <w:sz w:val="20"/>
                              </w:rPr>
                              <w:t xml:space="preserve"> pelas comorbidades ligadas ao ateroma.</w:t>
                            </w:r>
                          </w:p>
                          <w:p w14:paraId="3D0FD56E" w14:textId="77777777" w:rsidR="00164C17" w:rsidRDefault="00C76512">
                            <w:pPr>
                              <w:jc w:val="both"/>
                              <w:textDirection w:val="btLr"/>
                            </w:pPr>
                            <w:r>
                              <w:rPr>
                                <w:rFonts w:ascii="Bookman Old Style" w:eastAsia="Bookman Old Style" w:hAnsi="Bookman Old Style" w:cs="Bookman Old Style"/>
                                <w:color w:val="FFFFFF"/>
                                <w:sz w:val="20"/>
                              </w:rPr>
                              <w:t xml:space="preserve">Palavras-chave: </w:t>
                            </w:r>
                            <w:r>
                              <w:rPr>
                                <w:rFonts w:ascii="Bookman Old Style" w:eastAsia="Bookman Old Style" w:hAnsi="Bookman Old Style" w:cs="Bookman Old Style"/>
                                <w:color w:val="FFFFFF"/>
                                <w:sz w:val="20"/>
                              </w:rPr>
                              <w:br/>
                            </w:r>
                            <w:r>
                              <w:rPr>
                                <w:rFonts w:ascii="Bookman Old Style" w:eastAsia="Bookman Old Style" w:hAnsi="Bookman Old Style" w:cs="Bookman Old Style"/>
                                <w:color w:val="FFFFFF"/>
                                <w:sz w:val="20"/>
                              </w:rPr>
                              <w:br/>
                            </w:r>
                            <w:r>
                              <w:rPr>
                                <w:rFonts w:ascii="Bookman Old Style" w:eastAsia="Bookman Old Style" w:hAnsi="Bookman Old Style" w:cs="Bookman Old Style"/>
                                <w:i/>
                                <w:color w:val="FFFFFF"/>
                                <w:sz w:val="20"/>
                              </w:rPr>
                              <w:t>Placa aterosclerótica. radiografia panorâmica. diagnóstico precoce.</w:t>
                            </w:r>
                          </w:p>
                          <w:p w14:paraId="237BC3EA" w14:textId="77777777" w:rsidR="00164C17" w:rsidRDefault="00164C17">
                            <w:pPr>
                              <w:jc w:val="both"/>
                              <w:textDirection w:val="btLr"/>
                            </w:pPr>
                          </w:p>
                          <w:p w14:paraId="5E17B183" w14:textId="77777777" w:rsidR="00164C17" w:rsidRDefault="00C76512">
                            <w:pPr>
                              <w:spacing w:after="0" w:line="240" w:lineRule="auto"/>
                              <w:jc w:val="both"/>
                              <w:textDirection w:val="btLr"/>
                            </w:pPr>
                            <w:r>
                              <w:rPr>
                                <w:rFonts w:ascii="Bookman Old Style" w:eastAsia="Bookman Old Style" w:hAnsi="Bookman Old Style" w:cs="Bookman Old Style"/>
                                <w:color w:val="FFFFFF"/>
                                <w:sz w:val="16"/>
                              </w:rPr>
                              <w:t>Filiações:</w:t>
                            </w:r>
                          </w:p>
                          <w:p w14:paraId="4E01CFB2" w14:textId="77777777" w:rsidR="00164C17" w:rsidRDefault="00164C17">
                            <w:pPr>
                              <w:spacing w:after="0" w:line="240" w:lineRule="auto"/>
                              <w:jc w:val="both"/>
                              <w:textDirection w:val="btLr"/>
                            </w:pPr>
                          </w:p>
                          <w:p w14:paraId="3689C917" w14:textId="77777777" w:rsidR="00164C17" w:rsidRDefault="00C76512">
                            <w:pPr>
                              <w:spacing w:after="0" w:line="240" w:lineRule="auto"/>
                              <w:textDirection w:val="btLr"/>
                            </w:pPr>
                            <w:r>
                              <w:rPr>
                                <w:rFonts w:ascii="Bookman Old Style" w:eastAsia="Bookman Old Style" w:hAnsi="Bookman Old Style" w:cs="Bookman Old Style"/>
                                <w:color w:val="FFFFFF"/>
                                <w:sz w:val="16"/>
                                <w:vertAlign w:val="superscript"/>
                              </w:rPr>
                              <w:t>1</w:t>
                            </w:r>
                            <w:r>
                              <w:rPr>
                                <w:rFonts w:ascii="Bookman Old Style" w:eastAsia="Bookman Old Style" w:hAnsi="Bookman Old Style" w:cs="Bookman Old Style"/>
                                <w:color w:val="FFFFFF"/>
                                <w:sz w:val="16"/>
                              </w:rPr>
                              <w:t>Discente, Universidade Católica de Brasília, DF.</w:t>
                            </w:r>
                          </w:p>
                          <w:p w14:paraId="5EF440A2" w14:textId="77777777" w:rsidR="00164C17" w:rsidRDefault="00C76512">
                            <w:pPr>
                              <w:spacing w:after="0" w:line="240" w:lineRule="auto"/>
                              <w:textDirection w:val="btLr"/>
                            </w:pPr>
                            <w:r>
                              <w:rPr>
                                <w:rFonts w:ascii="Bookman Old Style" w:eastAsia="Bookman Old Style" w:hAnsi="Bookman Old Style" w:cs="Bookman Old Style"/>
                                <w:color w:val="FFFFFF"/>
                                <w:sz w:val="16"/>
                                <w:vertAlign w:val="superscript"/>
                              </w:rPr>
                              <w:t>2</w:t>
                            </w:r>
                            <w:r>
                              <w:rPr>
                                <w:rFonts w:ascii="Bookman Old Style" w:eastAsia="Bookman Old Style" w:hAnsi="Bookman Old Style" w:cs="Bookman Old Style"/>
                                <w:color w:val="FFFFFF"/>
                                <w:sz w:val="16"/>
                              </w:rPr>
                              <w:t>Discente, Universidade Católica de Brasília, DF.</w:t>
                            </w:r>
                            <w:r>
                              <w:rPr>
                                <w:rFonts w:ascii="Bookman Old Style" w:eastAsia="Bookman Old Style" w:hAnsi="Bookman Old Style" w:cs="Bookman Old Style"/>
                                <w:color w:val="FFFFFF"/>
                                <w:sz w:val="16"/>
                              </w:rPr>
                              <w:br/>
                              <w:t>³Docente, Univers</w:t>
                            </w:r>
                            <w:r>
                              <w:rPr>
                                <w:rFonts w:ascii="Bookman Old Style" w:eastAsia="Bookman Old Style" w:hAnsi="Bookman Old Style" w:cs="Bookman Old Style"/>
                                <w:color w:val="FFFFFF"/>
                                <w:sz w:val="16"/>
                              </w:rPr>
                              <w:t>idade Católica de Brasília, DF.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2590800</wp:posOffset>
                </wp:positionV>
                <wp:extent cx="6696075" cy="7561619"/>
                <wp:effectExtent b="0" l="0" r="0" t="0"/>
                <wp:wrapNone/>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696075" cy="7561619"/>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6350000</wp:posOffset>
                </wp:positionH>
                <wp:positionV relativeFrom="paragraph">
                  <wp:posOffset>9829800</wp:posOffset>
                </wp:positionV>
                <wp:extent cx="523875" cy="714375"/>
                <wp:effectExtent l="0" t="0" r="0" b="0"/>
                <wp:wrapNone/>
                <wp:docPr id="2" name="Retângulo 2"/>
                <wp:cNvGraphicFramePr/>
                <a:graphic xmlns:a="http://schemas.openxmlformats.org/drawingml/2006/main">
                  <a:graphicData uri="http://schemas.microsoft.com/office/word/2010/wordprocessingShape">
                    <wps:wsp>
                      <wps:cNvSpPr/>
                      <wps:spPr>
                        <a:xfrm>
                          <a:off x="5088825" y="3427575"/>
                          <a:ext cx="514350" cy="704850"/>
                        </a:xfrm>
                        <a:prstGeom prst="rect">
                          <a:avLst/>
                        </a:prstGeom>
                        <a:blipFill rotWithShape="1">
                          <a:blip r:embed="rId10">
                            <a:alphaModFix/>
                          </a:blip>
                          <a:stretch>
                            <a:fillRect/>
                          </a:stretch>
                        </a:blipFill>
                        <a:ln>
                          <a:noFill/>
                        </a:ln>
                      </wps:spPr>
                      <wps:txbx>
                        <w:txbxContent>
                          <w:p w14:paraId="7BB6A4C3" w14:textId="77777777" w:rsidR="00164C17" w:rsidRDefault="00164C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6350000</wp:posOffset>
                </wp:positionH>
                <wp:positionV relativeFrom="paragraph">
                  <wp:posOffset>9829800</wp:posOffset>
                </wp:positionV>
                <wp:extent cx="523875" cy="714375"/>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23875" cy="7143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3898900</wp:posOffset>
                </wp:positionH>
                <wp:positionV relativeFrom="paragraph">
                  <wp:posOffset>10312400</wp:posOffset>
                </wp:positionV>
                <wp:extent cx="2705100" cy="266700"/>
                <wp:effectExtent l="0" t="0" r="0" b="0"/>
                <wp:wrapNone/>
                <wp:docPr id="5" name="Retângulo 5"/>
                <wp:cNvGraphicFramePr/>
                <a:graphic xmlns:a="http://schemas.openxmlformats.org/drawingml/2006/main">
                  <a:graphicData uri="http://schemas.microsoft.com/office/word/2010/wordprocessingShape">
                    <wps:wsp>
                      <wps:cNvSpPr/>
                      <wps:spPr>
                        <a:xfrm>
                          <a:off x="3998213" y="3651413"/>
                          <a:ext cx="2695575" cy="257175"/>
                        </a:xfrm>
                        <a:prstGeom prst="rect">
                          <a:avLst/>
                        </a:prstGeom>
                        <a:noFill/>
                        <a:ln>
                          <a:noFill/>
                        </a:ln>
                      </wps:spPr>
                      <wps:txbx>
                        <w:txbxContent>
                          <w:p w14:paraId="39BD73BC" w14:textId="77777777" w:rsidR="00164C17" w:rsidRDefault="00C76512">
                            <w:pPr>
                              <w:spacing w:after="0" w:line="240" w:lineRule="auto"/>
                              <w:textDirection w:val="btLr"/>
                            </w:pPr>
                            <w:r>
                              <w:rPr>
                                <w:b/>
                                <w:color w:val="FFFFFF"/>
                                <w:sz w:val="16"/>
                              </w:rPr>
                              <w:t xml:space="preserve">Apoio: </w:t>
                            </w:r>
                            <w:r>
                              <w:rPr>
                                <w:b/>
                                <w:color w:val="FFFFFF"/>
                                <w:sz w:val="16"/>
                                <w:u w:val="single"/>
                              </w:rPr>
                              <w:t>www.editorapasteur.com.br</w:t>
                            </w:r>
                            <w:r>
                              <w:rPr>
                                <w:b/>
                                <w:color w:val="FFFFFF"/>
                                <w:sz w:val="16"/>
                              </w:rPr>
                              <w:t xml:space="preserve"> - @editorapasteur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10312400</wp:posOffset>
                </wp:positionV>
                <wp:extent cx="2705100" cy="266700"/>
                <wp:effectExtent b="0" l="0" r="0" t="0"/>
                <wp:wrapNone/>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705100" cy="266700"/>
                        </a:xfrm>
                        <a:prstGeom prst="rect"/>
                        <a:ln/>
                      </pic:spPr>
                    </pic:pic>
                  </a:graphicData>
                </a:graphic>
              </wp:anchor>
            </w:drawing>
          </mc:Fallback>
        </mc:AlternateContent>
      </w:r>
    </w:p>
    <w:sectPr w:rsidR="00164C17">
      <w:pgSz w:w="11906" w:h="16838"/>
      <w:pgMar w:top="0" w:right="0" w:bottom="0" w:left="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17"/>
    <w:rsid w:val="00164C17"/>
    <w:rsid w:val="00C765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72406-B7C1-4A73-911C-FFAE49E5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image" Target="media/image30.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Mariane Vitória Vieira Sousa</cp:lastModifiedBy>
  <cp:revision>2</cp:revision>
  <dcterms:created xsi:type="dcterms:W3CDTF">2021-06-02T00:28:00Z</dcterms:created>
  <dcterms:modified xsi:type="dcterms:W3CDTF">2021-06-02T00:28:00Z</dcterms:modified>
</cp:coreProperties>
</file>