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1426" w:rsidRDefault="00B36A7F" w:rsidP="00D1142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061FE4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D11426" w:rsidRDefault="00D1142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Ao desencadear uma pandemia severa em todo o globo, foram necessárias novas informações acerca da COVID-19. A expressão do vírus SARS-CoV-2 mostrou relação com manifestações cutâneas em diferentes faixas etárias, as quais estão sendo relatadas gradativamente na literatura.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061FE4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D11426" w:rsidRDefault="00D1142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Abordar achados clínicos dermatológicos diretamente ligados à infecção por covid-19, a fim de contribuir com o desbravamento recente do patógeno e suas manifestações no paciente, servindo de auxilio no seu diagnóstico.</w:t>
                            </w:r>
                          </w:p>
                          <w:p w:rsidR="009E4B0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9E4B0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D11426" w:rsidRDefault="00D1142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Foram utilizadas as bases de dados </w:t>
                            </w:r>
                            <w:proofErr w:type="spellStart"/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Uptodate</w:t>
                            </w:r>
                            <w:proofErr w:type="spellEnd"/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BVS nessa revisão de literatura acerca das manifestações dermatológicas da COVID-19 em adultos e crianças no contexto pandêmico da doença, descrevendo suas diferentes apresentações na pele. Os critérios de escolha incluem artigos respaldados, relato de caso e estudos prospectivos nacionais em português, inglês e espanhol com os seguintes descritores: “COVID-19”, “</w:t>
                            </w:r>
                            <w:proofErr w:type="spellStart"/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Dermatology</w:t>
                            </w:r>
                            <w:proofErr w:type="spellEnd"/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” “</w:t>
                            </w:r>
                            <w:proofErr w:type="spellStart"/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Exanthem</w:t>
                            </w:r>
                            <w:proofErr w:type="spellEnd"/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”. Excluíram-se aqueles que relacionavam manifestações cutâneas com reação medicamentosa e uso de </w:t>
                            </w:r>
                            <w:proofErr w:type="spellStart"/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EPI´s</w:t>
                            </w:r>
                            <w:proofErr w:type="spellEnd"/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somando </w:t>
                            </w:r>
                            <w:proofErr w:type="gramStart"/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5</w:t>
                            </w:r>
                            <w:proofErr w:type="gramEnd"/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fontes entre 2020 e 2021.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9E4B0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D11426" w:rsidRPr="00D11426" w:rsidRDefault="00D11426" w:rsidP="00D1142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Dentre as manifestações cutâneas </w:t>
                            </w:r>
                            <w:r w:rsidR="009E4B0F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apresentadas em adultos</w:t>
                            </w:r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os principais relatos incluem maior prevalência das seguintes manifestações: lesões </w:t>
                            </w:r>
                            <w:proofErr w:type="spellStart"/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acrais</w:t>
                            </w:r>
                            <w:proofErr w:type="spellEnd"/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semelhantes ao </w:t>
                            </w:r>
                            <w:proofErr w:type="spellStart"/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pernio</w:t>
                            </w:r>
                            <w:proofErr w:type="spellEnd"/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(18% a 40%), </w:t>
                            </w:r>
                            <w:proofErr w:type="spellStart"/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urticariformes</w:t>
                            </w:r>
                            <w:proofErr w:type="spellEnd"/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(10,9% a 19%), </w:t>
                            </w:r>
                            <w:proofErr w:type="spellStart"/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papulovesiculares</w:t>
                            </w:r>
                            <w:proofErr w:type="spellEnd"/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(9% </w:t>
                            </w:r>
                            <w:proofErr w:type="gramStart"/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à</w:t>
                            </w:r>
                            <w:proofErr w:type="gramEnd"/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11%), e o eritema </w:t>
                            </w:r>
                            <w:proofErr w:type="spellStart"/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maculopapular</w:t>
                            </w:r>
                            <w:proofErr w:type="spellEnd"/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 uma maior prevalência dentre os tipos de lesão(22% a 47%). Já na população infantil, foi descrita a Síndrome inflamatória </w:t>
                            </w:r>
                            <w:proofErr w:type="spellStart"/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multissistêmica</w:t>
                            </w:r>
                            <w:proofErr w:type="spellEnd"/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crianças (MIS-C), afecção com presença do</w:t>
                            </w:r>
                            <w:r w:rsidR="003E271D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eritema polimórfico associado </w:t>
                            </w:r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á inflamação de mucosas. Em recém-nascidos de mães infectadas por covid-19, há relatos de eritema </w:t>
                            </w:r>
                            <w:proofErr w:type="spellStart"/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maculopapular</w:t>
                            </w:r>
                            <w:proofErr w:type="spellEnd"/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difuso com resolução espontânea. Nas revisões de lesões mais raras, observou-se a presença do </w:t>
                            </w:r>
                            <w:proofErr w:type="spellStart"/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livedoreticular</w:t>
                            </w:r>
                            <w:proofErr w:type="spellEnd"/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acro</w:t>
                            </w:r>
                            <w:proofErr w:type="spellEnd"/>
                            <w:r w:rsidRPr="00D11426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-isquemia (4% a 6%) em pacientes idosos e com um quadro mais grave da doença.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9E4B0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  <w:bookmarkStart w:id="0" w:name="_GoBack"/>
                            <w:bookmarkEnd w:id="0"/>
                          </w:p>
                          <w:p w:rsidR="009E4B0F" w:rsidRPr="009E4B0F" w:rsidRDefault="009E4B0F" w:rsidP="009E4B0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E4B0F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Embora esses relatos exponham uma boa relação entre </w:t>
                            </w:r>
                            <w:proofErr w:type="spellStart"/>
                            <w:r w:rsidRPr="009E4B0F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covid</w:t>
                            </w:r>
                            <w:proofErr w:type="spellEnd"/>
                            <w:r w:rsidRPr="009E4B0F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, pele e idade, os mesmos ainda não são suficientes para estabelecer uma prevalência condizente com a realidade total da doença, necessitando de maior exploração epidemiológica acerca dessas manifestações.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9E4B0F" w:rsidRPr="009E4B0F" w:rsidRDefault="009E4B0F" w:rsidP="009E4B0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E4B0F">
                              <w:rPr>
                                <w:rFonts w:ascii="Bookman Old Style" w:hAnsi="Bookman Old Style" w:cs="Liberation Serif"/>
                                <w:bCs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COVID-19. Dermatologia. Eritema.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9E4B0F" w:rsidRDefault="009E4B0F" w:rsidP="009E4B0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proofErr w:type="gram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Centro Universitário UNINOVAFAPI, PI.</w:t>
                            </w:r>
                          </w:p>
                          <w:p w:rsidR="009E4B0F" w:rsidRPr="009E4B0F" w:rsidRDefault="009E4B0F" w:rsidP="009E4B0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</w:t>
                            </w:r>
                            <w:proofErr w:type="gram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Centro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Univeresitário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UNINOVAFAPI, PI.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D11426" w:rsidRDefault="00B36A7F" w:rsidP="00D11426">
                      <w:pPr>
                        <w:jc w:val="both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061FE4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B36A7F" w:rsidRPr="00D11426" w:rsidRDefault="00D11426" w:rsidP="00B36A7F">
                      <w:pPr>
                        <w:jc w:val="both"/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Ao desencadear uma pandemia severa em todo o globo, foram necessárias novas informações acerca da COVID-19. A expressão do vírus SARS-CoV-2 mostrou relação com manifestações cutâneas em diferentes faixas etárias, as quais estão sendo relatadas gradativamente na literatura.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061FE4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B36A7F" w:rsidRPr="00D11426" w:rsidRDefault="00D11426" w:rsidP="00B36A7F">
                      <w:pPr>
                        <w:jc w:val="both"/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Abordar achados clínicos dermatológicos diretamente ligados à infecção por covid-19, a fim de contribuir com o desbravamento recente do patógeno e suas manifestações no paciente, servindo de auxilio no seu diagnóstico.</w:t>
                      </w:r>
                    </w:p>
                    <w:p w:rsidR="009E4B0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9E4B0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D11426" w:rsidRDefault="00D11426" w:rsidP="00B36A7F">
                      <w:pPr>
                        <w:jc w:val="both"/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Foram utilizadas as bases de dados </w:t>
                      </w:r>
                      <w:proofErr w:type="spellStart"/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Uptodate</w:t>
                      </w:r>
                      <w:proofErr w:type="spellEnd"/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e BVS nessa revisão de literatura acerca das manifestações dermatológicas da COVID-19 em adultos e crianças no contexto pandêmico da doença, descrevendo suas diferentes apresentações na pele. Os critérios de escolha incluem artigos respaldados, relato de caso e estudos prospectivos nacionais em português, inglês e espanhol com os seguintes descritores: “COVID-19”, “</w:t>
                      </w:r>
                      <w:proofErr w:type="spellStart"/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Dermatology</w:t>
                      </w:r>
                      <w:proofErr w:type="spellEnd"/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” “</w:t>
                      </w:r>
                      <w:proofErr w:type="spellStart"/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Exanthem</w:t>
                      </w:r>
                      <w:proofErr w:type="spellEnd"/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”. Excluíram-se aqueles que relacionavam manifestações cutâneas com reação medicamentosa e uso de </w:t>
                      </w:r>
                      <w:proofErr w:type="spellStart"/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EPI´s</w:t>
                      </w:r>
                      <w:proofErr w:type="spellEnd"/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, somando </w:t>
                      </w:r>
                      <w:proofErr w:type="gramStart"/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5</w:t>
                      </w:r>
                      <w:proofErr w:type="gramEnd"/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fontes entre 2020 e 2021.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9E4B0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D11426" w:rsidRPr="00D11426" w:rsidRDefault="00D11426" w:rsidP="00D11426">
                      <w:pPr>
                        <w:jc w:val="both"/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Dentre as manifestações cutâneas </w:t>
                      </w:r>
                      <w:r w:rsidR="009E4B0F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apresentadas em adultos</w:t>
                      </w:r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, os principais relatos incluem maior prevalência das seguintes manifestações: lesões </w:t>
                      </w:r>
                      <w:proofErr w:type="spellStart"/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acrais</w:t>
                      </w:r>
                      <w:proofErr w:type="spellEnd"/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semelhantes ao </w:t>
                      </w:r>
                      <w:proofErr w:type="spellStart"/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pernio</w:t>
                      </w:r>
                      <w:proofErr w:type="spellEnd"/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(18% a 40%), </w:t>
                      </w:r>
                      <w:proofErr w:type="spellStart"/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urticariformes</w:t>
                      </w:r>
                      <w:proofErr w:type="spellEnd"/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(10,9% a 19%), </w:t>
                      </w:r>
                      <w:proofErr w:type="spellStart"/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papulovesiculares</w:t>
                      </w:r>
                      <w:proofErr w:type="spellEnd"/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(9% </w:t>
                      </w:r>
                      <w:proofErr w:type="gramStart"/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à</w:t>
                      </w:r>
                      <w:proofErr w:type="gramEnd"/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11%), e o eritema </w:t>
                      </w:r>
                      <w:proofErr w:type="spellStart"/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maculopapular</w:t>
                      </w:r>
                      <w:proofErr w:type="spellEnd"/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com uma maior prevalência dentre os tipos de lesão(22% a 47%). Já na população infantil, foi descrita a Síndrome inflamatória </w:t>
                      </w:r>
                      <w:proofErr w:type="spellStart"/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multissistêmica</w:t>
                      </w:r>
                      <w:proofErr w:type="spellEnd"/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em crianças (MIS-C), afecção com presença do</w:t>
                      </w:r>
                      <w:r w:rsidR="003E271D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eritema polimórfico associado </w:t>
                      </w:r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á inflamação de mucosas. Em recém-nascidos de mães infectadas por covid-19, há relatos de eritema </w:t>
                      </w:r>
                      <w:proofErr w:type="spellStart"/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maculopapular</w:t>
                      </w:r>
                      <w:proofErr w:type="spellEnd"/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difuso com resolução espontânea. Nas revisões de lesões mais raras, observou-se a presença do </w:t>
                      </w:r>
                      <w:proofErr w:type="spellStart"/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livedoreticular</w:t>
                      </w:r>
                      <w:proofErr w:type="spellEnd"/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e </w:t>
                      </w:r>
                      <w:proofErr w:type="spellStart"/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acro</w:t>
                      </w:r>
                      <w:proofErr w:type="spellEnd"/>
                      <w:r w:rsidRPr="00D11426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-isquemia (4% a 6%) em pacientes idosos e com um quadro mais grave da doença.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9E4B0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  <w:bookmarkStart w:id="1" w:name="_GoBack"/>
                      <w:bookmarkEnd w:id="1"/>
                    </w:p>
                    <w:p w:rsidR="009E4B0F" w:rsidRPr="009E4B0F" w:rsidRDefault="009E4B0F" w:rsidP="009E4B0F">
                      <w:pPr>
                        <w:jc w:val="both"/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E4B0F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Embora esses relatos exponham uma boa relação entre </w:t>
                      </w:r>
                      <w:proofErr w:type="spellStart"/>
                      <w:r w:rsidRPr="009E4B0F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covid</w:t>
                      </w:r>
                      <w:proofErr w:type="spellEnd"/>
                      <w:r w:rsidRPr="009E4B0F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, pele e idade, os mesmos ainda não são suficientes para estabelecer uma prevalência condizente com a realidade total da doença, necessitando de maior exploração epidemiológica acerca dessas manifestações.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9E4B0F" w:rsidRPr="009E4B0F" w:rsidRDefault="009E4B0F" w:rsidP="009E4B0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bCs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9E4B0F">
                        <w:rPr>
                          <w:rFonts w:ascii="Bookman Old Style" w:hAnsi="Bookman Old Style" w:cs="Liberation Serif"/>
                          <w:bCs/>
                          <w:i/>
                          <w:color w:val="FFFFFF" w:themeColor="background1"/>
                          <w:sz w:val="20"/>
                          <w:szCs w:val="20"/>
                        </w:rPr>
                        <w:t>COVID-19. Dermatologia. Eritema.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9E4B0F" w:rsidRDefault="009E4B0F" w:rsidP="009E4B0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proofErr w:type="gram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Centro Universitário UNINOVAFAPI, PI.</w:t>
                      </w:r>
                    </w:p>
                    <w:p w:rsidR="009E4B0F" w:rsidRPr="009E4B0F" w:rsidRDefault="009E4B0F" w:rsidP="009E4B0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</w:t>
                      </w:r>
                      <w:proofErr w:type="gram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Centro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Univeresitário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UNINOVAFAPI, PI.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1426" w:rsidRPr="00D11426" w:rsidRDefault="003E271D" w:rsidP="00D1142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D11426" w:rsidRPr="00D114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Carlos Daniel de Sousa Lima</w:t>
                            </w:r>
                            <w:r w:rsidR="00D11426" w:rsidRPr="00D114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D11426" w:rsidRPr="00D114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Amanda Vitória da Rocha Granja</w:t>
                            </w:r>
                            <w:r w:rsidR="00D11426" w:rsidRPr="00D114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1, </w:t>
                            </w:r>
                            <w:r w:rsidR="00D11426" w:rsidRPr="00D114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Andressa Mendes de Sousa</w:t>
                            </w:r>
                            <w:r w:rsidR="00D11426" w:rsidRPr="00D114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9E4B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Carlos Gilvan Nunes de </w:t>
                            </w:r>
                            <w:proofErr w:type="gramStart"/>
                            <w:r w:rsidR="009E4B0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Carvalh</w:t>
                            </w:r>
                            <w:r w:rsidR="00D114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D114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proofErr w:type="gramEnd"/>
                          </w:p>
                          <w:p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D11426" w:rsidRPr="00D11426" w:rsidRDefault="003E271D" w:rsidP="00D11426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D11426" w:rsidRPr="00D114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Carlos Daniel de Sousa Lima</w:t>
                      </w:r>
                      <w:r w:rsidR="00D11426" w:rsidRPr="00D114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D11426" w:rsidRPr="00D114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Amanda Vitória da Rocha Granja</w:t>
                      </w:r>
                      <w:r w:rsidR="00D11426" w:rsidRPr="00D114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1, </w:t>
                      </w:r>
                      <w:r w:rsidR="00D11426" w:rsidRPr="00D114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Andressa Mendes de Sousa</w:t>
                      </w:r>
                      <w:r w:rsidR="00D11426" w:rsidRPr="00D114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9E4B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Carlos Gilvan Nunes de </w:t>
                      </w:r>
                      <w:proofErr w:type="gramStart"/>
                      <w:r w:rsidR="009E4B0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Carvalh</w:t>
                      </w:r>
                      <w:r w:rsidR="00D114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D114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proofErr w:type="gramEnd"/>
                    </w:p>
                    <w:p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1426" w:rsidRPr="00B12E1A" w:rsidRDefault="002A7EB3" w:rsidP="00D11426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Manifestações Cutâneas no Período de Infecção da COVID-19: Revisão de L</w:t>
                            </w:r>
                            <w:r w:rsidR="00D11426" w:rsidRPr="00B12E1A">
                              <w:rPr>
                                <w:rFonts w:ascii="Bookman Old Style" w:hAnsi="Bookman Old Style" w:cs="Liberation Serif"/>
                                <w:bCs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iteratura</w:t>
                            </w:r>
                          </w:p>
                          <w:p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D11426" w:rsidRPr="00B12E1A" w:rsidRDefault="002A7EB3" w:rsidP="00D11426">
                      <w:pPr>
                        <w:jc w:val="center"/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 xml:space="preserve">Manifestações Cutâneas no Período de Infecção da COVID-19: Revisão de </w:t>
                      </w:r>
                      <w:r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>L</w:t>
                      </w:r>
                      <w:bookmarkStart w:id="1" w:name="_GoBack"/>
                      <w:bookmarkEnd w:id="1"/>
                      <w:r w:rsidR="00D11426" w:rsidRPr="00B12E1A">
                        <w:rPr>
                          <w:rFonts w:ascii="Bookman Old Style" w:hAnsi="Bookman Old Style" w:cs="Liberation Serif"/>
                          <w:bCs/>
                          <w:color w:val="C5E0B3" w:themeColor="accent6" w:themeTint="66"/>
                          <w:sz w:val="40"/>
                          <w:szCs w:val="40"/>
                        </w:rPr>
                        <w:t>iteratura</w:t>
                      </w:r>
                    </w:p>
                    <w:p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748" w:rsidRDefault="007D6748" w:rsidP="000B32CF">
      <w:pPr>
        <w:spacing w:after="0" w:line="240" w:lineRule="auto"/>
      </w:pPr>
      <w:r>
        <w:separator/>
      </w:r>
    </w:p>
  </w:endnote>
  <w:endnote w:type="continuationSeparator" w:id="0">
    <w:p w:rsidR="007D6748" w:rsidRDefault="007D6748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748" w:rsidRDefault="007D6748" w:rsidP="000B32CF">
      <w:pPr>
        <w:spacing w:after="0" w:line="240" w:lineRule="auto"/>
      </w:pPr>
      <w:r>
        <w:separator/>
      </w:r>
    </w:p>
  </w:footnote>
  <w:footnote w:type="continuationSeparator" w:id="0">
    <w:p w:rsidR="007D6748" w:rsidRDefault="007D6748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61FE4"/>
    <w:rsid w:val="000B32CF"/>
    <w:rsid w:val="0012334B"/>
    <w:rsid w:val="002A7EB3"/>
    <w:rsid w:val="003E271D"/>
    <w:rsid w:val="00713EEF"/>
    <w:rsid w:val="007D6748"/>
    <w:rsid w:val="008C1D12"/>
    <w:rsid w:val="00910A25"/>
    <w:rsid w:val="009C2829"/>
    <w:rsid w:val="009C55E6"/>
    <w:rsid w:val="009E4B0F"/>
    <w:rsid w:val="00B12E1A"/>
    <w:rsid w:val="00B36A7F"/>
    <w:rsid w:val="00BB621E"/>
    <w:rsid w:val="00BF7B8E"/>
    <w:rsid w:val="00C22B56"/>
    <w:rsid w:val="00CF6FD2"/>
    <w:rsid w:val="00D1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11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14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11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14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windows 10</cp:lastModifiedBy>
  <cp:revision>9</cp:revision>
  <cp:lastPrinted>2021-05-21T00:55:00Z</cp:lastPrinted>
  <dcterms:created xsi:type="dcterms:W3CDTF">2021-03-18T18:44:00Z</dcterms:created>
  <dcterms:modified xsi:type="dcterms:W3CDTF">2021-06-01T03:08:00Z</dcterms:modified>
</cp:coreProperties>
</file>