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kern w:val="1"/>
          <w:sz w:val="22"/>
          <w:szCs w:val="22"/>
        </w:rPr>
      </w:pPr>
      <w:r>
        <w:rPr>
          <w:rFonts w:ascii="Arial" w:hAnsi="Arial" w:eastAsia="Arial" w:cs="Arial"/>
          <w:b/>
          <w:color w:val="000000"/>
          <w:kern w:val="1"/>
          <w:sz w:val="22"/>
          <w:szCs w:val="22"/>
        </w:rPr>
        <w:t>A RELAÇÃO ENTRE A CONSERVAÇÃO DOS MORCEGOS E O SEU PAPEL NA MANUTENÇÃO, CIRCULAÇÃO E TRANSMISSÃO DE VÍRUS ZOONÓTICOS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Patrícia Miranda Lima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 xml:space="preserve">*, </w:t>
      </w:r>
      <w:r>
        <w:rPr>
          <w:rFonts w:ascii="Arial" w:hAnsi="Arial" w:eastAsia="Arial" w:cs="Arial"/>
          <w:b/>
          <w:color w:val="000000"/>
          <w:kern w:val="1"/>
        </w:rPr>
        <w:t>Daniel Portela Dias Machado</w:t>
      </w:r>
      <w:r>
        <w:rPr>
          <w:rFonts w:ascii="Arial" w:hAnsi="Arial" w:eastAsia="Arial" w:cs="Arial"/>
          <w:b/>
          <w:bCs/>
          <w:kern w:val="1"/>
          <w:vertAlign w:val="superscript"/>
        </w:rPr>
        <w:t>2</w:t>
      </w:r>
      <w:r>
        <w:rPr>
          <w:rFonts w:ascii="Arial" w:hAnsi="Arial" w:eastAsia="Arial" w:cs="Arial"/>
          <w:kern w:val="1"/>
        </w:rPr>
        <w:t>,</w:t>
      </w:r>
      <w:r>
        <w:rPr>
          <w:rFonts w:ascii="Arial" w:hAnsi="Arial" w:eastAsia="Arial" w:cs="Arial"/>
          <w:b/>
          <w:color w:val="000000"/>
        </w:rPr>
        <w:t xml:space="preserve"> Amanda Maria Sena Reis</w:t>
      </w:r>
      <w:r>
        <w:rPr>
          <w:rFonts w:ascii="Arial" w:hAnsi="Arial" w:eastAsia="Arial" w:cs="Arial"/>
          <w:b/>
          <w:color w:val="000000"/>
          <w:vertAlign w:val="superscript"/>
        </w:rPr>
        <w:t>3</w:t>
      </w:r>
      <w:r>
        <w:rPr>
          <w:rFonts w:ascii="Arial" w:hAnsi="Arial" w:eastAsia="Arial" w:cs="Arial"/>
          <w:b/>
          <w:color w:val="000000"/>
        </w:rPr>
        <w:t>.</w:t>
      </w:r>
      <w:r>
        <w:rPr>
          <w:rFonts w:ascii="Arial" w:hAnsi="Arial" w:eastAsia="Arial" w:cs="Arial"/>
          <w:b/>
          <w:color w:val="000000"/>
        </w:rPr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Graduanda em Ciências Biológicas – Universidade Federal de Minas Gerais UFMG – Belo Horizonte/MG – Brasil – *Contato: patymirandal@hotmail.com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hAnsi="Arial" w:eastAsia="Arial" w:cs="Arial"/>
          <w:i/>
          <w:color w:val="000000"/>
          <w:kern w:val="1"/>
          <w:sz w:val="14"/>
          <w:szCs w:val="14"/>
        </w:rPr>
        <w:t xml:space="preserve">Doutorando do programa de Ciências Biológicas - Fisiologia e Farmacologia - Universidade Federal de Minas Gerais - UFMG - </w:t>
      </w:r>
      <w:r>
        <w:rPr>
          <w:rFonts w:ascii="Arial" w:hAnsi="Arial" w:eastAsia="Arial" w:cs="Arial"/>
          <w:i/>
          <w:color w:val="000000"/>
          <w:sz w:val="14"/>
          <w:szCs w:val="14"/>
        </w:rPr>
        <w:t>Belo Horizonte/MG – Brasil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hAnsi="Arial" w:eastAsia="Arial" w:cs="Arial"/>
          <w:i/>
          <w:color w:val="000000"/>
          <w:sz w:val="14"/>
          <w:szCs w:val="14"/>
        </w:rPr>
        <w:t>Professora do Departamento de Patologia Geral - Universidade Federal de Minas Gerais – UFMG</w:t>
      </w: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 xml:space="preserve"> </w:t>
      </w:r>
      <w:r>
        <w:rPr>
          <w:rFonts w:ascii="Arial" w:hAnsi="Arial" w:eastAsia="Arial" w:cs="Arial"/>
          <w:i/>
          <w:color w:val="000000"/>
          <w:sz w:val="14"/>
          <w:szCs w:val="14"/>
        </w:rPr>
        <w:t>– Belo Horizonte/MG – Brasil</w:t>
      </w:r>
    </w:p>
    <w:p>
      <w:pPr>
        <w:spacing w:after="96"/>
        <w:jc w:val="center"/>
        <w:rPr>
          <w:rFonts w:ascii="Arial" w:hAnsi="Arial" w:eastAsia="Arial" w:cs="Arial"/>
          <w:i/>
          <w:color w:val="000000"/>
          <w:sz w:val="18"/>
          <w:szCs w:val="18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sz w:val="18"/>
          <w:szCs w:val="18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8"/>
          <w:footerReference w:type="default" r:id="rId9"/>
          <w:type w:val="nextPage"/>
          <w:pgSz w:h="16838" w:w="11906"/>
          <w:pgMar w:left="426" w:top="1560" w:right="424" w:bottom="720" w:header="708" w:footer="709"/>
          <w:paperSrc w:first="0" w:other="0"/>
          <w:pgNumType w:fmt="decimal" w:start="1"/>
          <w:tmGutter w:val="3"/>
          <w:mirrorMargins w:val="0"/>
          <w:tmSection w:h="-1">
            <w:tmHeader w:id="0" w:h="0" edge="708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96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INTRODUÇÃO</w:t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Os morcegos (Ordem Chiroptera) correspondem a um dos grupos de mamíferos mais diversos, com mais de 1400 espécies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Também são os mamíferos terrestres mais extensamente distribuídos no mundo e que se configuram como animais de importantes funções ecológicas e serviços ecossistêmicos, uma vez que são essenciais na supressão de pragas agrícolas e urbanas, polinização, dispersão de sementes, regeneração de áreas naturais degradadas e manutenção da vida nas cavernas. Além disso, são utilizados como modelos experimentais para o estudo do envelhecimento, prevenção de câncer, produção de remédios, como anticoagulantes, e na engenharia biomimética, por exemplo, para a geração de sonares e radares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1,2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Sendo assim, promover a sua conservação é de extrema importância. Todavia, são constantemente vistos de forma negativa pela população, que possui medo e os associam a lendas e crenças culturais que reforçam essa visão, além de também serem responsabilizados pelo aparecimento de diversas zoonoses recorrentes no mundo, tal como a raiva e, atualmente, a COVID-19, sendo vistos como ameaça para a saúde global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1,2,5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Neste contexto, essa revisão bibliográfica busca demonstrar o atual estado de conservação dos morcegos no mundo e no Brasil, além de analisar seu papel como reservatório natural de vírus e as possíveis implicações para sua conservação e o desenvolvimento de zoonoses.</w:t>
      </w:r>
    </w:p>
    <w:p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</w:p>
    <w:p>
      <w:pPr>
        <w:spacing w:after="96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rFonts w:ascii="Arial" w:hAnsi="Arial" w:eastAsia="Arial" w:cs="Arial"/>
          <w:b/>
          <w:sz w:val="18"/>
          <w:szCs w:val="18"/>
        </w:rPr>
        <w:t>MATERIAL E MÉTODOS</w:t>
      </w:r>
      <w:r>
        <w:rPr>
          <w:sz w:val="24"/>
          <w:szCs w:val="24"/>
        </w:rPr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Para a revisão foram utilizados artigos científicos de 2015 a 2021 encontrados nas bases de dados </w:t>
      </w:r>
      <w:r>
        <w:rPr>
          <w:rFonts w:ascii="Arial" w:hAnsi="Arial" w:eastAsia="Arial" w:cs="Arial"/>
          <w:i/>
          <w:iCs/>
          <w:color w:val="000000"/>
          <w:kern w:val="1"/>
          <w:sz w:val="18"/>
          <w:szCs w:val="18"/>
        </w:rPr>
        <w:t>Pubmed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e </w:t>
      </w:r>
      <w:r>
        <w:rPr>
          <w:rFonts w:ascii="Arial" w:hAnsi="Arial" w:eastAsia="Arial" w:cs="Arial"/>
          <w:i/>
          <w:iCs/>
          <w:color w:val="000000"/>
          <w:kern w:val="1"/>
          <w:sz w:val="18"/>
          <w:szCs w:val="18"/>
        </w:rPr>
        <w:t>Google Scholar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Também foram utilizados a Lista vermelha de Espécies Ameaçadas da IUCN (</w:t>
      </w:r>
      <w:r>
        <w:rPr>
          <w:rStyle w:val="char12"/>
          <w:rFonts w:ascii="Arial" w:hAnsi="Arial" w:eastAsia="SimSun" w:cs="Arial"/>
          <w:color w:val="000000"/>
          <w:sz w:val="18"/>
          <w:szCs w:val="18"/>
          <w:shd w:val="clear" w:fill="ffffff"/>
        </w:rPr>
        <w:t xml:space="preserve">International Union for Conservation of </w:t>
      </w:r>
      <w:r>
        <w:rPr>
          <w:rStyle w:val="char12"/>
          <w:rFonts w:ascii="Arial" w:hAnsi="Arial" w:eastAsia="SimSun" w:cs="Arial"/>
          <w:color w:val="000000"/>
          <w:sz w:val="18"/>
          <w:szCs w:val="18"/>
          <w:shd w:val="clear" w:fill="ffffff"/>
        </w:rPr>
        <w:t xml:space="preserve"> </w:t>
      </w:r>
      <w:r>
        <w:rPr>
          <w:rStyle w:val="char12"/>
          <w:rFonts w:ascii="Arial" w:hAnsi="Arial" w:eastAsia="SimSun" w:cs="Arial"/>
          <w:color w:val="000000"/>
          <w:sz w:val="18"/>
          <w:szCs w:val="18"/>
          <w:shd w:val="clear" w:fill="ffffff"/>
        </w:rPr>
        <w:t xml:space="preserve">Nature </w:t>
      </w:r>
      <w:r>
        <w:rPr>
          <w:rFonts w:ascii="Arial" w:hAnsi="Arial" w:eastAsia="Tahoma" w:cs="Arial"/>
          <w:color w:val="000000"/>
          <w:sz w:val="18"/>
          <w:szCs w:val="18"/>
          <w:shd w:val="clear" w:fill="ffffff"/>
        </w:rPr>
        <w:t xml:space="preserve">—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acesso em fevereiro de 2021) e o Livro Vermelho da Fauna Brasileira Ameaçada de Extinção (2018) para coletar os dados sobre o estado de conservação das espécies de morcegos.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after="96"/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p>
      <w:pPr>
        <w:spacing w:after="96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REVISÃO DE LITERATURA</w:t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Segundo a Lista Vermelha IUCN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, 213 espécies de morcego estão ameaçadas (16,2% </w:t>
      </w:r>
      <w:r>
        <w:rPr>
          <w:rFonts w:ascii="Arial" w:hAnsi="Arial" w:eastAsia="Tahoma" w:cs="Arial"/>
          <w:color w:val="000000"/>
          <w:sz w:val="18"/>
          <w:szCs w:val="18"/>
          <w:shd w:val="clear" w:fill="ffffff"/>
        </w:rPr>
        <w:t>—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dentro deste quadro, ocorre a divisão em vulneráveis, em perigo e criticamente em perigo) e 242 espécies apresentam dados insuficientes (18,4%), o que impossibilita saber o verdadeiro estado de conservação desses animais. Já no Brasil, das 177 espécies recorrentes, 7 estão ameaçadas, sendo 6 em estado vulnerável e 1 em perigo (Fig.1), e ainda 42 espécies (24%) apresentam dados insuficientes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kern w:val="1"/>
        </w:rPr>
      </w:pPr>
      <w:r>
        <w:rPr>
          <w:rFonts w:eastAsia="SimSun"/>
          <w:kern w:val="1"/>
        </w:rPr>
        <w:t xml:space="preserve">                      </w:t>
      </w:r>
      <w:r/>
      <w:r>
        <w:rPr>
          <w:noProof/>
        </w:rPr>
        <w:drawing>
          <wp:inline distT="0" distB="0" distL="0" distR="0">
            <wp:extent cx="1648460" cy="1065530"/>
            <wp:effectExtent l="0" t="0" r="0" b="0"/>
            <wp:docPr id="1" name="Imag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7"/>
                    <pic:cNvPicPr>
                      <a:picLocks noChangeAspect="1"/>
                      <a:extLst>
                        <a:ext uri="smNativeData">
                          <sm:smNativeData xmlns:sm="smNativeData" val="SMDATA_16_CNeqY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QAwAANkKAADaBAAATAkAAAAAAABkAAAAZAAAAAAAAAAjAAAABAAAAGQAAAAXAAAAFAAAACQKAACOBgAAJAoAAI4G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IAAAAAAAAAAAAAAQAAAAAAAACqAQAAAQAAAAAAAAD2MgAAJAoAAI4GAAAAAAAAqgEAAPYyAAA="/>
                        </a:ext>
                      </a:extLst>
                    </pic:cNvPicPr>
                  </pic:nvPicPr>
                  <pic:blipFill>
                    <a:blip r:embed="rId10"/>
                    <a:srcRect l="31360" t="27770" r="12420" b="23800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655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SimSun"/>
          <w:kern w:val="1"/>
        </w:rPr>
      </w:r>
    </w:p>
    <w:p>
      <w:pPr>
        <w:spacing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1</w:t>
      </w:r>
      <w:r>
        <w:rPr>
          <w:rFonts w:ascii="Arial" w:hAnsi="Arial" w:eastAsia="Arial" w:cs="Arial"/>
          <w:kern w:val="1"/>
          <w:sz w:val="18"/>
          <w:szCs w:val="18"/>
        </w:rPr>
        <w:t xml:space="preserve">: Fotografia da espécie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 xml:space="preserve">Lonchophylla dekeyseri, </w:t>
      </w:r>
      <w:r>
        <w:rPr>
          <w:rFonts w:ascii="Arial" w:hAnsi="Arial" w:eastAsia="Arial" w:cs="Arial"/>
          <w:kern w:val="1"/>
          <w:sz w:val="18"/>
          <w:szCs w:val="18"/>
        </w:rPr>
        <w:t>que se encontra no estado de conservação ‘em perigo’ no Brasil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4</w:t>
      </w:r>
      <w:r>
        <w:rPr>
          <w:rFonts w:ascii="Arial" w:hAnsi="Arial" w:eastAsia="Arial" w:cs="Arial"/>
          <w:kern w:val="1"/>
          <w:sz w:val="18"/>
          <w:szCs w:val="18"/>
        </w:rPr>
        <w:t>.</w:t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As principais ameaças baseadas na IUCN são: extração de madeira/colheita de plantas e a agricultura, sendo que ambas resultam na perda e degradação de habitat; intrusões e perturbações humanas, como por exemplo, a destruição de poleiros ou o turismo em cavernas; a caça e coleta de animais para a alimentação ou fabricação de remédios. Dentro deste quadro, também vale ressaltar a morte de morcegos por repulsa da população devido a lendas e crenças ou também por considerarem uma fonte de transmissão de doenças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2,3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Esse último ponto se intensifica em momentos de epidemias ou pandemias e com a associação, frequentemente distorcida e desconectada, dos morcegos com essas doenças, o que coloca em risco sua conservação. Como exemplo, pode-se citar o aumento de casos de</w:t>
      </w:r>
      <w:r>
        <w:rPr>
          <w:rFonts w:eastAsia="SimSun"/>
          <w:color w:val="000000"/>
          <w:kern w:val="1"/>
          <w:sz w:val="24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destruição de poleiros, de perseguições e ataques às suas populações no mundo, após a suspeita de que a COVID-19 estava relacionada com estes animais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De</w:t>
      </w:r>
      <w:r>
        <w:rPr>
          <w:rFonts w:eastAsia="SimSun"/>
          <w:color w:val="000000"/>
          <w:kern w:val="1"/>
          <w:sz w:val="24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fato, os morcegos</w:t>
      </w:r>
      <w:r>
        <w:rPr>
          <w:rFonts w:eastAsia="SimSun"/>
          <w:color w:val="000000"/>
          <w:kern w:val="1"/>
          <w:sz w:val="24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são</w:t>
      </w:r>
      <w:r>
        <w:rPr>
          <w:rFonts w:eastAsia="SimSun"/>
          <w:color w:val="000000"/>
          <w:kern w:val="1"/>
          <w:sz w:val="24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reservatórios naturais de diversos vírus zoonóticos que infectam humanos, dentre eles, o vírus da raiva (o vírus mais importante associado aos morcegos), Nipah, Hendra, hantavírus e coronavírus. Relacionados à família Coronaviridae, foram identificadas sequências próximas de três vírus zoonóticos, o SARS-COV-1, que ocasiona a Síndrome Respiratória Aguda Grave, iniciada na China em 2003; MERS-COV, que gera a Síndrome Respiratória do Oriente Médio, com o surgimento em 2012 na Arábia Saudita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; e o SARS-COV-2 responsável pela pandemia atual, com início na China em 2019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Diante das pesquisas realizadas, percebeu-se que os morcegos não são os transmissores diretos para os humanos. Geralmente, o </w:t>
      </w:r>
      <w:r>
        <w:rPr>
          <w:rFonts w:ascii="Arial" w:hAnsi="Arial" w:eastAsia="Arial" w:cs="Arial"/>
          <w:i/>
          <w:color w:val="000000"/>
          <w:kern w:val="1"/>
          <w:sz w:val="18"/>
          <w:szCs w:val="18"/>
        </w:rPr>
        <w:t>spillover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do vírus envolve possíveis hospedeiros intermediários, como as civetas e guaxinins (SARS-COV-1), os camelos (MERS- COV)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e os pangolins, como hospedeiro em potencial no caso do SARS-COV-2, porém ainda sem confirmação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Esse transbordamento se deve, principalmente, aos próprios seres humanos, que afetam o equilíbrio ecossistêmico com suas ações e favorecem uma maior exposição e contato com estes animais 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(Fig.2).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kern w:val="1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       </w:t>
      </w:r>
      <w:r/>
      <w:r>
        <w:rPr>
          <w:noProof/>
        </w:rPr>
        <w:drawing>
          <wp:inline distT="0" distB="0" distL="0" distR="0">
            <wp:extent cx="2998470" cy="2208530"/>
            <wp:effectExtent l="0" t="0" r="0" b="0"/>
            <wp:docPr id="2" name="Imagem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6"/>
                    <pic:cNvPicPr>
                      <a:extLst>
                        <a:ext uri="smNativeData">
                          <sm:smNativeData xmlns:sm="smNativeData" val="SMDATA_16_CNeqYB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sQAAAJQFAAArCgAAlAUAAAAAAABkAAAAZAAAAAAAAAAjAAAABAAAAGQAAAAXAAAAFAAAAHISAACWDQAAchIAAJYN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QAAAAAAAAAAAAAAAQAAAAAAAAAAAAAAchIAAJYNAAAAAAAAAAAAAAAAAAA="/>
                        </a:ext>
                      </a:extLst>
                    </pic:cNvPicPr>
                  </pic:nvPicPr>
                  <pic:blipFill>
                    <a:blip r:embed="rId11"/>
                    <a:srcRect l="1770" t="14280" r="26030" b="14280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2085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SimSun"/>
          <w:kern w:val="1"/>
        </w:rPr>
      </w:r>
    </w:p>
    <w:p>
      <w:pPr>
        <w:spacing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kern w:val="1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2</w:t>
      </w:r>
      <w:r>
        <w:rPr>
          <w:rFonts w:ascii="Arial" w:hAnsi="Arial" w:eastAsia="Arial" w:cs="Arial"/>
          <w:kern w:val="1"/>
          <w:sz w:val="18"/>
          <w:szCs w:val="18"/>
        </w:rPr>
        <w:t xml:space="preserve">: Esquema simplificado sobre o transbordamento dos três coronavírus, tendo influência das ações antrópicas. </w:t>
      </w:r>
      <w:r>
        <w:rPr>
          <w:rFonts w:ascii="Arial" w:hAnsi="Arial" w:eastAsia="SimSun"/>
          <w:color w:val="000000"/>
          <w:kern w:val="1"/>
          <w:sz w:val="18"/>
        </w:rPr>
        <w:t>(Fonte autoral)</w:t>
      </w:r>
      <w:r>
        <w:rPr>
          <w:rFonts w:eastAsia="SimSun"/>
          <w:kern w:val="1"/>
        </w:rPr>
      </w:r>
    </w:p>
    <w:p>
      <w:pPr>
        <w:spacing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after="96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CONSIDERAÇÕES FINAIS</w:t>
      </w:r>
    </w:p>
    <w:p>
      <w:pPr>
        <w:spacing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Dessa forma, a necessidade de fornecer para a população uma perspectiva mais integrada e positiva sobre os morcegos se torna vital para a sua conservação. Além disso, também é de suma importância mudanças no modo do ser humano se relacionar com o meio ambiente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, </w:t>
      </w:r>
      <w:r>
        <w:rPr>
          <w:rFonts w:ascii="Arial" w:hAnsi="Arial" w:eastAsia="Arial" w:cs="Arial"/>
          <w:kern w:val="1"/>
          <w:sz w:val="18"/>
          <w:szCs w:val="18"/>
        </w:rPr>
        <w:t>buscando ações, p</w:t>
      </w:r>
      <w:r/>
      <w:bookmarkStart w:id="1" w:name="_GoBack"/>
      <w:bookmarkEnd w:id="1"/>
      <w:r/>
      <w:r>
        <w:rPr>
          <w:rFonts w:ascii="Arial" w:hAnsi="Arial" w:eastAsia="Arial" w:cs="Arial"/>
          <w:kern w:val="1"/>
          <w:sz w:val="18"/>
          <w:szCs w:val="18"/>
        </w:rPr>
        <w:t>or exemplo, que vão de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kern w:val="1"/>
          <w:sz w:val="18"/>
          <w:szCs w:val="18"/>
        </w:rPr>
        <w:t>encontro ao caminho da saúde única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rPr>
          <w:rFonts w:ascii="Arial" w:hAnsi="Arial" w:eastAsia="Arial" w:cs="Arial"/>
          <w:b/>
          <w:sz w:val="14"/>
          <w:szCs w:val="14"/>
        </w:rPr>
      </w:pPr>
      <w:r>
        <w:rPr>
          <w:rFonts w:ascii="Arial" w:hAnsi="Arial" w:eastAsia="Arial" w:cs="Arial"/>
          <w:b/>
          <w:sz w:val="14"/>
          <w:szCs w:val="1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/>
      <w:pgNumType w:fmt="decimal"/>
      <w:cols w:num="2" w:equalWidth="0" w:space="72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20603050405020304"/>
    <w:charset w:val="00"/>
    <w:family w:val="roman"/>
    <w:pitch w:val="default"/>
  </w:font>
  <w:font w:name="Arial Rounded">
    <w:panose1 w:val="020B0604020202020204"/>
    <w:charset w:val="00"/>
    <w:family w:val="auto"/>
    <w:pitch w:val="default"/>
  </w:font>
  <w:font w:name="Calibri"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>
        <w:tab w:val="center" w:pos="4252" w:leader="none"/>
        <w:tab w:val="right" w:pos="8504" w:leader="none"/>
      </w:tabs>
      <w:rPr>
        <w:rFonts w:ascii="Arial Rounded" w:hAnsi="Arial Rounded" w:eastAsia="Arial Rounded" w:cs="Arial Rounded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1.png"/>
                  <pic:cNvPicPr>
                    <a:extLst>
                      <a:ext uri="smNativeData">
                        <sm:smNativeData xmlns:sm="smNativeData" val="SMDATA_16_CNeq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CAJgAAAAAAAAIAAAAu////sAQAAHUEAAAAAAAAKigAAPI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" w:hAnsi="Arial Rounded" w:eastAsia="Arial Rounded" w:cs="Arial Rounded"/>
        <w:b/>
        <w:color w:val="002060"/>
        <w:sz w:val="28"/>
        <w:szCs w:val="28"/>
      </w:rPr>
      <w:t xml:space="preserve">VII Colóquio Técnico Científico de Saúde Única, </w:t>
    </w:r>
  </w:p>
  <w:p>
    <w:pPr>
      <w:spacing/>
      <w:jc w:val="center"/>
      <w:tabs>
        <w:tab w:val="center" w:pos="5670" w:leader="none"/>
        <w:tab w:val="right" w:pos="11056" w:leader="none"/>
      </w:tabs>
      <w:rPr>
        <w:rFonts w:ascii="Arial Rounded" w:hAnsi="Arial Rounded" w:eastAsia="Arial Rounded" w:cs="Arial Rounded"/>
        <w:b/>
        <w:color w:val="002060"/>
        <w:sz w:val="16"/>
        <w:szCs w:val="16"/>
      </w:rPr>
    </w:pPr>
    <w:r>
      <w:rPr>
        <w:rFonts w:ascii="Arial Rounded" w:hAnsi="Arial Rounded" w:eastAsia="Arial Rounded" w:cs="Arial Rounded"/>
        <w:b/>
        <w:color w:val="002060"/>
        <w:sz w:val="28"/>
        <w:szCs w:val="28"/>
      </w:rPr>
      <w:t>Ciências Agrárias e Meio Ambiente</w:t>
    </w:r>
    <w:r>
      <w:rPr>
        <w:rFonts w:ascii="Arial Rounded" w:hAnsi="Arial Rounded" w:eastAsia="Arial Rounded" w:cs="Arial Rounded"/>
        <w:b/>
        <w:color w:val="002060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Lista numerada 2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288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04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  <w:sz w:val="20"/>
      </w:rPr>
    </w:lvl>
  </w:abstractNum>
  <w:abstractNum w:abstractNumId="3">
    <w:multiLevelType w:val="hybridMultilevel"/>
    <w:name w:val="Lista numerada 3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288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04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  <w:sz w:val="20"/>
      </w:rPr>
    </w:lvl>
  </w:abstractNum>
  <w:abstractNum w:abstractNumId="4">
    <w:multiLevelType w:val="hybridMultilevel"/>
    <w:name w:val="Lista numerada 4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288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04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  <w:sz w:val="20"/>
      </w:rPr>
    </w:lvl>
  </w:abstractNum>
  <w:abstractNum w:abstractNumId="5">
    <w:multiLevelType w:val="hybridMultilevel"/>
    <w:name w:val="Lista numerada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a numerada 6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Lista numerada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0"/>
      <w:tmLastPosIdx w:val="59"/>
    </w:tmLastPosCaret>
    <w:tmLastPosAnchor>
      <w:tmLastPosPgfIdx w:val="0"/>
      <w:tmLastPosIdx w:val="0"/>
    </w:tmLastPosAnchor>
    <w:tmLastPosTblRect w:left="0" w:top="0" w:right="0" w:bottom="0"/>
  </w:tmLastPos>
  <w:tmAppRevision w:date="1621808904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annotation text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Footnote Text"/>
    <w:qFormat/>
    <w:basedOn w:val="para0"/>
  </w:style>
  <w:style w:type="paragraph" w:styleId="para13">
    <w:name w:val="Head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annotation reference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Emphasis"/>
    <w:basedOn w:val="char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annotation text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Footnote Text"/>
    <w:qFormat/>
    <w:basedOn w:val="para0"/>
  </w:style>
  <w:style w:type="paragraph" w:styleId="para13">
    <w:name w:val="Head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annotation reference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Emphasis"/>
    <w:basedOn w:val="char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/>
  <cp:revision>12</cp:revision>
  <cp:lastPrinted>2021-04-01T14:52:00Z</cp:lastPrinted>
  <dcterms:created xsi:type="dcterms:W3CDTF">2021-04-01T14:54:00Z</dcterms:created>
  <dcterms:modified xsi:type="dcterms:W3CDTF">2021-05-23T22:28:24Z</dcterms:modified>
</cp:coreProperties>
</file>