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3.png" ContentType="image/png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A"/>
        </w:pBdr>
        <w:jc w:val="center"/>
        <w:rPr/>
      </w:pPr>
      <w:r>
        <w:rPr>
          <w:rFonts w:eastAsia="Arial" w:cs="Arial" w:ascii="Arial" w:hAnsi="Arial"/>
          <w:b/>
          <w:smallCaps/>
          <w:sz w:val="22"/>
          <w:szCs w:val="22"/>
        </w:rPr>
        <w:t>LEISHMANIOSE EM FELINO: RELATO DE CASO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FF0000"/>
        </w:rPr>
      </w:pPr>
      <w:r>
        <w:rPr>
          <w:rFonts w:eastAsia="Arial" w:cs="Arial" w:ascii="Arial" w:hAnsi="Arial"/>
          <w:b/>
          <w:color w:val="00000A"/>
        </w:rPr>
        <w:t>Ursula Tassyane de Carvalho</w:t>
      </w:r>
      <w:r>
        <w:rPr>
          <w:rFonts w:eastAsia="Arial" w:cs="Arial" w:ascii="Arial" w:hAnsi="Arial"/>
          <w:b/>
          <w:color w:val="00000A"/>
          <w:vertAlign w:val="superscript"/>
        </w:rPr>
        <w:t>1*</w:t>
      </w:r>
      <w:r>
        <w:rPr>
          <w:rFonts w:eastAsia="Arial" w:cs="Arial" w:ascii="Arial" w:hAnsi="Arial"/>
          <w:b/>
          <w:color w:val="00000A"/>
        </w:rPr>
        <w:t>, Marcella Letícia Melo Souza da Rocha¹, Karen Yumi Ribeiro Nakagaki²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i/>
          <w:color w:val="000000"/>
          <w:sz w:val="14"/>
          <w:szCs w:val="14"/>
          <w:vertAlign w:val="superscript"/>
        </w:rPr>
        <w:t>1</w:t>
      </w:r>
      <w:r>
        <w:rPr>
          <w:rFonts w:eastAsia="Arial" w:cs="Arial" w:ascii="Arial" w:hAnsi="Arial"/>
          <w:i/>
          <w:color w:val="000000"/>
          <w:sz w:val="14"/>
          <w:szCs w:val="14"/>
        </w:rPr>
        <w:t>Graduando em Medicina Veterinária – UniBH – Belo Horizonte/MG – Brasil – *Contato: tassyaneursula@hotmail.com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i/>
          <w:color w:val="000000"/>
          <w:sz w:val="14"/>
          <w:szCs w:val="14"/>
          <w:vertAlign w:val="superscript"/>
        </w:rPr>
        <w:t>2</w:t>
      </w:r>
      <w:r>
        <w:rPr>
          <w:rFonts w:eastAsia="Arial" w:cs="Arial" w:ascii="Arial" w:hAnsi="Arial"/>
          <w:i/>
          <w:color w:val="000000"/>
          <w:sz w:val="14"/>
          <w:szCs w:val="14"/>
        </w:rPr>
        <w:t>Médica Veterinária - Responsável técnica do Centro de Diagnóstico Veterinário Celulavet – CRMV-MG 14186</w:t>
      </w:r>
    </w:p>
    <w:p>
      <w:pPr>
        <w:pStyle w:val="Normal"/>
        <w:jc w:val="center"/>
        <w:rPr/>
      </w:pPr>
      <w:r>
        <w:rPr/>
      </w:r>
      <w:bookmarkStart w:id="0" w:name="_gjdgxs"/>
      <w:bookmarkStart w:id="1" w:name="_gjdgxs"/>
      <w:bookmarkEnd w:id="1"/>
    </w:p>
    <w:p>
      <w:pPr>
        <w:sectPr>
          <w:headerReference w:type="default" r:id="rId2"/>
          <w:type w:val="nextPage"/>
          <w:pgSz w:w="11906" w:h="16838"/>
          <w:pgMar w:left="426" w:right="424" w:header="426" w:top="1560" w:footer="0" w:bottom="720" w:gutter="0"/>
          <w:pgNumType w:start="1" w:fmt="decimal"/>
          <w:formProt w:val="false"/>
          <w:textDirection w:val="lrTb"/>
          <w:docGrid w:type="default" w:linePitch="100" w:charSpace="16384"/>
        </w:sectPr>
      </w:pPr>
    </w:p>
    <w:p>
      <w:pPr>
        <w:pStyle w:val="Normal"/>
        <w:pBdr>
          <w:bottom w:val="single" w:sz="4" w:space="1" w:color="000000"/>
        </w:pBdr>
        <w:spacing w:before="0" w:after="40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INTRODUÇÃO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color w:val="000000"/>
          <w:sz w:val="18"/>
          <w:szCs w:val="18"/>
        </w:rPr>
        <w:t xml:space="preserve">Leishmaniose é uma doença parasitária zoonótica causada por espécies do protozoário do gênero 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Leishmania </w:t>
      </w:r>
      <w:r>
        <w:rPr>
          <w:rFonts w:eastAsia="Arial" w:cs="Arial" w:ascii="Arial" w:hAnsi="Arial"/>
          <w:color w:val="000000"/>
          <w:sz w:val="18"/>
          <w:szCs w:val="18"/>
        </w:rPr>
        <w:t>sp.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,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sua transmissão ocorre através dos vetores </w:t>
      </w:r>
      <w:bookmarkStart w:id="2" w:name="30j0zll"/>
      <w:bookmarkEnd w:id="2"/>
      <w:r>
        <w:rPr>
          <w:rFonts w:eastAsia="Arial" w:cs="Arial" w:ascii="Arial" w:hAnsi="Arial"/>
          <w:color w:val="000000"/>
          <w:sz w:val="18"/>
          <w:szCs w:val="18"/>
        </w:rPr>
        <w:t xml:space="preserve">flebotomíneos dos gêneros 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Lutzomyia </w:t>
      </w:r>
      <w:r>
        <w:rPr>
          <w:rFonts w:eastAsia="Arial" w:cs="Arial" w:ascii="Arial" w:hAnsi="Arial"/>
          <w:color w:val="000000"/>
          <w:sz w:val="18"/>
          <w:szCs w:val="18"/>
        </w:rPr>
        <w:t>e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 Phlebotomus.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  <w:vertAlign w:val="superscript"/>
        </w:rPr>
        <w:t>5,6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color w:val="000000"/>
          <w:sz w:val="18"/>
          <w:szCs w:val="18"/>
        </w:rPr>
        <w:t>Os gatos são considerados reservatórios secundários da doença, permanecendo assintomáticos na maioria das infecções, quando presente a sintomatologia é inespecífica.</w:t>
      </w:r>
      <w:r>
        <w:rPr>
          <w:rFonts w:eastAsia="Arial" w:cs="Arial" w:ascii="Arial" w:hAnsi="Arial"/>
          <w:color w:val="000000"/>
          <w:sz w:val="18"/>
          <w:szCs w:val="18"/>
          <w:vertAlign w:val="superscript"/>
        </w:rPr>
        <w:t>3,7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Às formas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cutânea, mucocutânea e visceral foram previamente descritas na espécie, sendo a apresentação visceral a mais grave e incomum.</w:t>
      </w:r>
      <w:r>
        <w:rPr>
          <w:rFonts w:eastAsia="Arial" w:cs="Arial" w:ascii="Arial" w:hAnsi="Arial"/>
          <w:color w:val="000000"/>
          <w:sz w:val="18"/>
          <w:szCs w:val="18"/>
          <w:vertAlign w:val="superscript"/>
        </w:rPr>
        <w:t xml:space="preserve">1,3,6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Nódulos e ulcerações são os achados mais comuns em animais com as apresentações cutâneas e mucocutâneas. </w:t>
      </w:r>
      <w:r>
        <w:rPr>
          <w:rFonts w:eastAsia="Arial" w:cs="Arial" w:ascii="Arial" w:hAnsi="Arial"/>
          <w:color w:val="000000"/>
          <w:sz w:val="18"/>
          <w:szCs w:val="18"/>
          <w:vertAlign w:val="superscript"/>
        </w:rPr>
        <w:t>3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color w:val="000000"/>
          <w:sz w:val="18"/>
          <w:szCs w:val="18"/>
        </w:rPr>
        <w:t xml:space="preserve">O presente trabalho teve como objetivo relatar dois casos de 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Leishmania </w:t>
      </w:r>
      <w:r>
        <w:rPr>
          <w:rFonts w:eastAsia="Arial" w:cs="Arial" w:ascii="Arial" w:hAnsi="Arial"/>
          <w:color w:val="000000"/>
          <w:sz w:val="18"/>
          <w:szCs w:val="18"/>
        </w:rPr>
        <w:t>sp</w:t>
      </w:r>
      <w:r>
        <w:rPr>
          <w:rFonts w:eastAsia="Arial" w:cs="Arial" w:ascii="Arial" w:hAnsi="Arial"/>
          <w:i/>
          <w:color w:val="00000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em exames anatomopatológicos de felinos.</w:t>
        <w:br/>
      </w:r>
    </w:p>
    <w:p>
      <w:pPr>
        <w:pStyle w:val="Normal"/>
        <w:pBdr>
          <w:bottom w:val="single" w:sz="4" w:space="1" w:color="000000"/>
        </w:pBdr>
        <w:spacing w:before="0" w:after="40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RELATO DE CASO E DISCUSSÃO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sz w:val="18"/>
          <w:szCs w:val="18"/>
        </w:rPr>
        <w:t>Foi recebido no laboratório Celulavet, amostras de dois felinos fêmeas, cujo o primeiro realizou exame citológico para avaliar lesão cutânea em região de pálpebra e o segundo realizou exame histopatológico e imuno-histoquímico para análise de lesão na região cervical ventral.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sz w:val="18"/>
          <w:szCs w:val="18"/>
        </w:rPr>
        <w:t xml:space="preserve">No primeiro paciente a citologia foi realizada em região de pálpebra em nódulo bem delimitado, de superfície lisa e textura macia, medindo 1,0 x 0,5 x 0,3 cm, com histórico de aparecimento há cerca de 1 ano e presença de secreção serosanguinolenta no olho acometido (Fig. 1 A). A microscopia revelou amostra de celularidade moderada, contendo predominância de macrófagos, com citoplasma amplo e espumoso e fibroblastos reativos. Observou-se a presença de grande quantidade de estruturas parasitárias livre na lâmina e no interior dos macrófagos, compatíveis com formas amastigotas de </w:t>
      </w:r>
      <w:r>
        <w:rPr>
          <w:rFonts w:eastAsia="Arial" w:cs="Arial" w:ascii="Arial" w:hAnsi="Arial"/>
          <w:i/>
          <w:sz w:val="18"/>
          <w:szCs w:val="18"/>
        </w:rPr>
        <w:t xml:space="preserve">Leishmania </w:t>
      </w:r>
      <w:r>
        <w:rPr>
          <w:rFonts w:eastAsia="Arial" w:cs="Arial" w:ascii="Arial" w:hAnsi="Arial"/>
          <w:sz w:val="18"/>
          <w:szCs w:val="18"/>
        </w:rPr>
        <w:t>sp. (Fig. 1 B).</w:t>
      </w:r>
    </w:p>
    <w:p>
      <w:pPr>
        <w:pStyle w:val="Normal"/>
        <w:spacing w:before="0" w:after="4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137795</wp:posOffset>
            </wp:positionH>
            <wp:positionV relativeFrom="paragraph">
              <wp:posOffset>113030</wp:posOffset>
            </wp:positionV>
            <wp:extent cx="3057525" cy="3460115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color w:val="000000"/>
          <w:sz w:val="18"/>
          <w:szCs w:val="18"/>
        </w:rPr>
        <w:t>F</w:t>
      </w:r>
      <w:r>
        <w:rPr>
          <w:rFonts w:eastAsia="Arial" w:cs="Arial" w:ascii="Arial" w:hAnsi="Arial"/>
          <w:b/>
          <w:color w:val="000000"/>
          <w:sz w:val="18"/>
          <w:szCs w:val="18"/>
        </w:rPr>
        <w:t xml:space="preserve">onte: </w:t>
      </w:r>
      <w:r>
        <w:rPr>
          <w:rFonts w:eastAsia="Arial" w:cs="Arial" w:ascii="Arial" w:hAnsi="Arial"/>
          <w:color w:val="000000"/>
          <w:sz w:val="18"/>
          <w:szCs w:val="18"/>
        </w:rPr>
        <w:t>Celulavet.</w:t>
      </w:r>
    </w:p>
    <w:p>
      <w:pPr>
        <w:pStyle w:val="Normal"/>
        <w:spacing w:before="0" w:after="40"/>
        <w:jc w:val="center"/>
        <w:rPr/>
      </w:pPr>
      <w:r>
        <w:rPr>
          <w:rFonts w:eastAsia="Arial" w:cs="Arial" w:ascii="Arial" w:hAnsi="Arial"/>
          <w:b/>
          <w:color w:val="000000"/>
          <w:sz w:val="18"/>
          <w:szCs w:val="18"/>
        </w:rPr>
        <w:t xml:space="preserve">Figura 1: </w:t>
      </w:r>
      <w:r>
        <w:rPr>
          <w:rFonts w:eastAsia="Arial" w:cs="Arial" w:ascii="Arial" w:hAnsi="Arial"/>
          <w:color w:val="000000"/>
          <w:sz w:val="18"/>
          <w:szCs w:val="18"/>
        </w:rPr>
        <w:t>A) Felino apresentando formação nodular em região de pálpebra superior. B)  Macrófagos contendo estruturas compatíveis com amastigo</w:t>
      </w:r>
      <w:r>
        <w:rPr>
          <w:rFonts w:eastAsia="Arial" w:cs="Arial" w:ascii="Arial" w:hAnsi="Arial"/>
          <w:sz w:val="18"/>
          <w:szCs w:val="18"/>
        </w:rPr>
        <w:t>t</w:t>
      </w:r>
      <w:r>
        <w:rPr>
          <w:rFonts w:eastAsia="Arial" w:cs="Arial" w:ascii="Arial" w:hAnsi="Arial"/>
          <w:color w:val="000000"/>
          <w:sz w:val="18"/>
          <w:szCs w:val="18"/>
        </w:rPr>
        <w:t>as no citoplasma em lâmina de citologia. C) Células histiocíticas com estruturas sugestivas de amastigotas em lâmina histológica. D) Imunomarcação positiva para presença de amastigotas em lâmina de imunohistoquímica.</w:t>
      </w:r>
    </w:p>
    <w:p>
      <w:pPr>
        <w:pStyle w:val="Normal"/>
        <w:spacing w:before="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sz w:val="18"/>
          <w:szCs w:val="18"/>
        </w:rPr>
        <w:t xml:space="preserve">O histopatológico foi realizado a partir de lesão removida da região cervical ventral do segundo paciente, com histórico de pele seca, sem secreção e sem aderências. A apresentação macroscópica da amostra tecidual consistia em um fragmento de pele medindo 4,1 x 2,1 x 0,7 cm, de superfície irregular, pouco pilosa, com ulceração medindo 3,2 x 1,5 cm e firme, superfície de corte homogênea, esbranquiçada com área parda escura. Na microscopia a amostra histopatológica evidenciou fragmento de pele contendo inflamação acentuada, difusa em derme superficial e início da profunda. Infiltrado inflamatório composto principalmente por histiócitos. No citoplasma das células histiocíticas, observou-se numerosas estruturas arredondadas ovais, com pequeno núcleo basofílico, compatíveis com formas de amastigotas de </w:t>
      </w:r>
      <w:r>
        <w:rPr>
          <w:rFonts w:eastAsia="Arial" w:cs="Arial" w:ascii="Arial" w:hAnsi="Arial"/>
          <w:i/>
          <w:sz w:val="18"/>
          <w:szCs w:val="18"/>
        </w:rPr>
        <w:t>Leishmania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sp.</w:t>
      </w:r>
      <w:r>
        <w:rPr>
          <w:rFonts w:eastAsia="Arial" w:cs="Arial" w:ascii="Arial" w:hAnsi="Arial"/>
          <w:sz w:val="18"/>
          <w:szCs w:val="18"/>
        </w:rPr>
        <w:t xml:space="preserve"> (Fig. 1 C). Também foi constatado inflamação linfoplasmocitária ao redor de folículos e anexos, além de ulceração da epiderme, com inflamação neutrofílica associada. O diagnóstico então foi firmado como dermatite granulomatosa difusa acentuada, associada a formas amastigotas de </w:t>
      </w:r>
      <w:r>
        <w:rPr>
          <w:rFonts w:eastAsia="Arial" w:cs="Arial" w:ascii="Arial" w:hAnsi="Arial"/>
          <w:i/>
          <w:iCs/>
          <w:sz w:val="18"/>
          <w:szCs w:val="18"/>
        </w:rPr>
        <w:t xml:space="preserve">Leishmania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sp.</w:t>
      </w:r>
      <w:r>
        <w:rPr>
          <w:rFonts w:eastAsia="Arial" w:cs="Arial" w:ascii="Arial" w:hAnsi="Arial"/>
          <w:sz w:val="18"/>
          <w:szCs w:val="18"/>
        </w:rPr>
        <w:t xml:space="preserve"> Subsequentemente foi realizada a imuno-histoquímica que apresentou imunomarcação positiva para formas amastigotas de </w:t>
      </w:r>
      <w:r>
        <w:rPr>
          <w:rFonts w:eastAsia="Arial" w:cs="Arial" w:ascii="Arial" w:hAnsi="Arial"/>
          <w:i/>
          <w:sz w:val="18"/>
          <w:szCs w:val="18"/>
        </w:rPr>
        <w:t>Leishmania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sp.</w:t>
      </w:r>
      <w:r>
        <w:rPr>
          <w:rFonts w:eastAsia="Arial" w:cs="Arial" w:ascii="Arial" w:hAnsi="Arial"/>
          <w:sz w:val="18"/>
          <w:szCs w:val="18"/>
        </w:rPr>
        <w:t xml:space="preserve"> (Fig. 1 D).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sz w:val="18"/>
          <w:szCs w:val="18"/>
        </w:rPr>
        <w:t>Entre os métodos de diagnóstico por visualização direta do parasita, foi sugerida a utilização da citologia como um teste sensível em animais negativos em sorológicos. O histopatológico demonstra sensibilidade e especificidade aceitáveis, sendo a imuno-histoquímica considerado o método diagnóstico de primeira linha e também utilizada como confirmatório ao histopatológico.</w:t>
      </w:r>
      <w:r>
        <w:rPr>
          <w:rFonts w:eastAsia="Arial" w:cs="Arial" w:ascii="Arial" w:hAnsi="Arial"/>
          <w:sz w:val="18"/>
          <w:szCs w:val="18"/>
          <w:vertAlign w:val="superscript"/>
        </w:rPr>
        <w:t>2, 7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sz w:val="18"/>
          <w:szCs w:val="18"/>
        </w:rPr>
        <w:t xml:space="preserve">Em um estudo avaliando as características histopatológicas de 15 felinos positivos para o protozoário, 13 dos animais apresentaram inflamação granulomatosa difusa em junções mucocutâneas, cutâneas e oculares, associadas à presença de amastigotas. </w:t>
      </w:r>
      <w:r>
        <w:rPr>
          <w:rFonts w:eastAsia="Arial" w:cs="Arial" w:ascii="Arial" w:hAnsi="Arial"/>
          <w:sz w:val="18"/>
          <w:szCs w:val="18"/>
          <w:vertAlign w:val="superscript"/>
        </w:rPr>
        <w:t>4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sz w:val="18"/>
          <w:szCs w:val="18"/>
        </w:rPr>
        <w:t>Alguns autores sugerem que a baixa prevalência da doença em áreas endêmicas, assim como as alterações patológicas mínimas ou limitadas, estão associadas resolução espontânea das lesões provocadas por uma resistência natural da espécie.</w:t>
      </w:r>
      <w:r>
        <w:rPr>
          <w:rFonts w:eastAsia="Arial" w:cs="Arial" w:ascii="Arial" w:hAnsi="Arial"/>
          <w:sz w:val="18"/>
          <w:szCs w:val="18"/>
          <w:vertAlign w:val="superscript"/>
        </w:rPr>
        <w:t>1,7</w:t>
      </w:r>
      <w:r>
        <w:rPr>
          <w:rFonts w:eastAsia="Arial" w:cs="Arial" w:ascii="Arial" w:hAnsi="Arial"/>
          <w:sz w:val="18"/>
          <w:szCs w:val="18"/>
        </w:rPr>
        <w:t xml:space="preserve"> No entanto, diferentes estudos identificaram uma prevalência de 0% a 68% em regiões endêmicas.</w:t>
      </w:r>
      <w:r>
        <w:rPr>
          <w:rFonts w:eastAsia="Arial" w:cs="Arial" w:ascii="Arial" w:hAnsi="Arial"/>
          <w:sz w:val="18"/>
          <w:szCs w:val="18"/>
          <w:vertAlign w:val="superscript"/>
        </w:rPr>
        <w:t>3</w:t>
      </w:r>
      <w:r>
        <w:rPr>
          <w:rFonts w:eastAsia="Arial" w:cs="Arial" w:ascii="Arial" w:hAnsi="Arial"/>
          <w:sz w:val="18"/>
          <w:szCs w:val="18"/>
        </w:rPr>
        <w:t xml:space="preserve"> Devido a isso, felinos com lesões cutâneas e mucocutâneas nodulares, ulceradas ou crostosas carecem de investigação para descartar infecção.</w:t>
      </w:r>
      <w:r>
        <w:rPr>
          <w:rFonts w:eastAsia="Arial" w:cs="Arial" w:ascii="Arial" w:hAnsi="Arial"/>
          <w:sz w:val="18"/>
          <w:szCs w:val="18"/>
          <w:vertAlign w:val="superscript"/>
        </w:rPr>
        <w:t>4</w:t>
        <w:br/>
      </w:r>
    </w:p>
    <w:p>
      <w:pPr>
        <w:pStyle w:val="Normal"/>
        <w:pBdr>
          <w:bottom w:val="single" w:sz="4" w:space="1" w:color="000000"/>
        </w:pBdr>
        <w:spacing w:before="0" w:after="40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CONSIDERAÇÕES FINAIS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sz w:val="18"/>
          <w:szCs w:val="18"/>
        </w:rPr>
        <w:t xml:space="preserve">A leishmaniose é uma doença rotineira na clínica médica veterinária afetando em sua extensa maioria os cães. No entanto esse diagnóstico diferencial não deve ser excluído no que se refere a pacientes felinos, principalmente em regiões endêmicas, e assim compreender melhor os diferentes </w:t>
      </w:r>
      <w:r>
        <w:rPr>
          <w:rFonts w:eastAsia="Arial" w:cs="Arial" w:ascii="Arial" w:hAnsi="Arial"/>
          <w:color w:val="000000"/>
          <w:sz w:val="18"/>
          <w:szCs w:val="18"/>
        </w:rPr>
        <w:t>exames anatomopatológicos, bem como</w:t>
      </w:r>
      <w:bookmarkStart w:id="3" w:name="_GoBack"/>
      <w:bookmarkEnd w:id="3"/>
      <w:r>
        <w:rPr>
          <w:rFonts w:eastAsia="Arial" w:cs="Arial" w:ascii="Arial" w:hAnsi="Arial"/>
          <w:sz w:val="18"/>
          <w:szCs w:val="18"/>
        </w:rPr>
        <w:t xml:space="preserve"> a prevalência da infecção e o comportamento epidemiológico do protozoário nessa espécie.</w:t>
      </w:r>
    </w:p>
    <w:p>
      <w:pPr>
        <w:pStyle w:val="Normal"/>
        <w:spacing w:before="0" w:after="40"/>
        <w:jc w:val="center"/>
        <w:rPr/>
      </w:pPr>
      <w:r>
        <w:rPr>
          <w:rFonts w:eastAsia="Arial" w:cs="Arial" w:ascii="Arial" w:hAnsi="Arial"/>
          <w:b/>
          <w:color w:val="000000"/>
          <w:sz w:val="14"/>
          <w:szCs w:val="14"/>
        </w:rPr>
        <w:br/>
        <w:t xml:space="preserve">APOIO: </w:t>
      </w:r>
    </w:p>
    <w:p>
      <w:pPr>
        <w:pStyle w:val="Normal"/>
        <w:spacing w:before="0" w:after="40"/>
        <w:jc w:val="center"/>
        <w:rPr/>
      </w:pPr>
      <w:r>
        <w:rPr/>
      </w:r>
      <w:bookmarkStart w:id="4" w:name="_1fob9te"/>
      <w:bookmarkStart w:id="5" w:name="_1fob9te"/>
      <w:bookmarkEnd w:id="5"/>
    </w:p>
    <w:p>
      <w:pPr>
        <w:pStyle w:val="Normal"/>
        <w:rPr/>
      </w:pPr>
      <w:r>
        <w:rPr>
          <w:rFonts w:ascii="Arial" w:hAnsi="Arial"/>
        </w:rPr>
        <w:t xml:space="preserve">                                     </w:t>
      </w:r>
      <w:r>
        <w:rPr/>
        <w:drawing>
          <wp:inline distT="0" distB="0" distL="0" distR="0">
            <wp:extent cx="598805" cy="594995"/>
            <wp:effectExtent l="0" t="0" r="0" b="0"/>
            <wp:docPr id="3" name="image3.png" descr="C:\Users\Lenovo\Pictures\logo_celulavet_respons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C:\Users\Lenovo\Pictures\logo_celulavet_responsiv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426" w:right="424" w:header="426" w:top="1560" w:footer="0" w:bottom="720" w:gutter="0"/>
      <w:cols w:num="2" w:space="402" w:equalWidth="true" w:sep="false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 Rounded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jc w:val="center"/>
      <w:rPr>
        <w:rFonts w:ascii="Arial Rounded" w:hAnsi="Arial Rounded" w:eastAsia="Arial Rounded" w:cs="Arial Rounded"/>
        <w:b/>
        <w:b/>
        <w:color w:val="002060"/>
        <w:sz w:val="28"/>
        <w:szCs w:val="2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Square wrapText="bothSides"/>
          <wp:docPr id="1" name="image1.png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Rounded" w:cs="Arial Rounded" w:ascii="Arial Rounded" w:hAnsi="Arial Rounded"/>
        <w:b/>
        <w:color w:val="002060"/>
        <w:sz w:val="28"/>
        <w:szCs w:val="28"/>
      </w:rPr>
      <w:t>V</w:t>
    </w:r>
    <w:r>
      <w:rPr>
        <w:rFonts w:eastAsia="Arial Rounded" w:cs="Arial Rounded" w:ascii="Arial Rounded" w:hAnsi="Arial Rounded"/>
        <w:b/>
        <w:color w:val="002060"/>
        <w:sz w:val="28"/>
        <w:szCs w:val="28"/>
      </w:rPr>
      <w:t xml:space="preserve">II Colóquio Técnico Científico de Saúde Única, </w:t>
    </w:r>
  </w:p>
  <w:p>
    <w:pPr>
      <w:pStyle w:val="Normal"/>
      <w:tabs>
        <w:tab w:val="center" w:pos="5670" w:leader="none"/>
        <w:tab w:val="right" w:pos="11056" w:leader="none"/>
      </w:tabs>
      <w:jc w:val="center"/>
      <w:rPr>
        <w:rFonts w:ascii="Arial Rounded" w:hAnsi="Arial Rounded" w:eastAsia="Arial Rounded" w:cs="Arial Rounded"/>
        <w:b/>
        <w:b/>
        <w:color w:val="002060"/>
        <w:sz w:val="16"/>
        <w:szCs w:val="16"/>
      </w:rPr>
    </w:pPr>
    <w:r>
      <w:rPr>
        <w:rFonts w:eastAsia="Arial Rounded" w:cs="Arial Rounded" w:ascii="Arial Rounded" w:hAnsi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w="http://schemas.openxmlformats.org/wordprocessingml/2006/main">
  <w:zoom w:percent="140"/>
  <w:trackRevisio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lang w:val="pt-P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Noto Sans CJK SC" w:cs="Lohit Devanagari"/>
      <w:color w:val="auto"/>
      <w:kern w:val="0"/>
      <w:sz w:val="20"/>
      <w:szCs w:val="20"/>
      <w:lang w:val="pt-PT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pBdr>
        <w:bottom w:val="single" w:sz="6" w:space="1" w:color="000000"/>
      </w:pBdr>
      <w:jc w:val="both"/>
      <w:outlineLvl w:val="2"/>
    </w:pPr>
    <w:rPr>
      <w:rFonts w:ascii="Arial" w:hAnsi="Arial" w:eastAsia="Arial" w:cs="Arial"/>
      <w:b/>
      <w:sz w:val="18"/>
      <w:szCs w:val="1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eastAsia="Calibri" w:cs="Calibri"/>
      <w:i/>
      <w:color w:val="2F5496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16480c"/>
    <w:rPr>
      <w:rFonts w:cs="Mangal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480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6480c"/>
    <w:rPr>
      <w:rFonts w:cs="Mangal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16480c"/>
    <w:rPr>
      <w:rFonts w:cs="Mangal"/>
      <w:b/>
      <w:bCs/>
      <w:szCs w:val="18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6480c"/>
    <w:rPr>
      <w:rFonts w:ascii="Segoe UI" w:hAnsi="Segoe UI" w:cs="Mangal"/>
      <w:sz w:val="18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qFormat/>
    <w:pPr>
      <w:keepNext w:val="true"/>
      <w:keepLines/>
      <w:widowControl w:val="false"/>
      <w:bidi w:val="0"/>
      <w:spacing w:before="480" w:after="120"/>
      <w:jc w:val="left"/>
    </w:pPr>
    <w:rPr>
      <w:rFonts w:ascii="Calibri" w:hAnsi="Calibri" w:eastAsia="Noto Sans CJK SC" w:cs="Lohit Devanagari"/>
      <w:b/>
      <w:color w:val="auto"/>
      <w:kern w:val="0"/>
      <w:sz w:val="72"/>
      <w:szCs w:val="72"/>
      <w:lang w:val="pt-PT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0"/>
      <w:szCs w:val="20"/>
      <w:lang w:val="pt-PT" w:eastAsia="zh-CN" w:bidi="hi-IN"/>
    </w:rPr>
  </w:style>
  <w:style w:type="paragraph" w:styleId="Subttulo">
    <w:name w:val="Subtitle"/>
    <w:basedOn w:val="LO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link w:val="RodapChar"/>
    <w:uiPriority w:val="99"/>
    <w:unhideWhenUsed/>
    <w:rsid w:val="0016480c"/>
    <w:pPr>
      <w:tabs>
        <w:tab w:val="center" w:pos="4252" w:leader="none"/>
        <w:tab w:val="right" w:pos="8504" w:leader="none"/>
      </w:tabs>
    </w:pPr>
    <w:rPr>
      <w:rFonts w:cs="Mangal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6480c"/>
    <w:pPr/>
    <w:rPr>
      <w:rFonts w:cs="Mangal"/>
      <w:szCs w:val="18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16480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6480c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LibreOffice/6.0.7.3$Linux_X86_64 LibreOffice_project/00m0$Build-3</Application>
  <Pages>1</Pages>
  <Words>734</Words>
  <Characters>4551</Characters>
  <CharactersWithSpaces>5308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2021-05-05T20:54:00Z</dcterms:created>
  <dc:creator/>
  <dc:description/>
  <dc:language>pt-BR</dc:language>
  <cp:lastModifiedBy/>
  <dcterms:modified xsi:type="dcterms:W3CDTF">2021-05-23T18:58:01Z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