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5F" w:rsidRDefault="002E631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sz w:val="22"/>
          <w:szCs w:val="22"/>
        </w:rPr>
        <w:t>INTOXICAÇÃO POR CEBOLA EM CÃO: RELATO DE CASO</w:t>
      </w:r>
    </w:p>
    <w:p w:rsidR="005F525F" w:rsidRDefault="002E631F">
      <w:pPr>
        <w:pBdr>
          <w:bottom w:val="single" w:sz="4" w:space="1" w:color="000000"/>
        </w:pBdr>
        <w:tabs>
          <w:tab w:val="left" w:pos="4455"/>
        </w:tabs>
        <w:rPr>
          <w:rFonts w:ascii="Arial" w:eastAsia="Arial" w:hAnsi="Arial" w:cs="Arial"/>
          <w:b/>
          <w:smallCaps/>
          <w:color w:val="000000"/>
          <w:sz w:val="2"/>
          <w:szCs w:val="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ab/>
      </w:r>
    </w:p>
    <w:p w:rsidR="005F525F" w:rsidRDefault="005F525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8"/>
          <w:szCs w:val="8"/>
        </w:rPr>
      </w:pPr>
    </w:p>
    <w:p w:rsidR="005F525F" w:rsidRDefault="005F525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8"/>
          <w:szCs w:val="8"/>
        </w:rPr>
      </w:pPr>
    </w:p>
    <w:p w:rsidR="005F525F" w:rsidRDefault="002E631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bookmarkStart w:id="1" w:name="_30j0zll" w:colFirst="0" w:colLast="0"/>
      <w:bookmarkEnd w:id="1"/>
      <w:r>
        <w:rPr>
          <w:rFonts w:ascii="Arial" w:eastAsia="Arial" w:hAnsi="Arial" w:cs="Arial"/>
          <w:b/>
          <w:color w:val="000000"/>
        </w:rPr>
        <w:t>Laura Moreira Bastos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*, Ana Flávia Sousa Santos¹, Mateus Ferreira de Sousa¹, Michele Caroline Ribeiro do Carmo Rocha¹, Jessica Oliveira Pereira da Cruz¹, Jade </w:t>
      </w:r>
      <w:proofErr w:type="spellStart"/>
      <w:r>
        <w:rPr>
          <w:rFonts w:ascii="Arial" w:eastAsia="Arial" w:hAnsi="Arial" w:cs="Arial"/>
          <w:b/>
          <w:color w:val="000000"/>
        </w:rPr>
        <w:t>Caproni</w:t>
      </w:r>
      <w:proofErr w:type="spellEnd"/>
      <w:r>
        <w:rPr>
          <w:rFonts w:ascii="Arial" w:eastAsia="Arial" w:hAnsi="Arial" w:cs="Arial"/>
          <w:b/>
          <w:color w:val="000000"/>
        </w:rPr>
        <w:t xml:space="preserve"> Corrêa² e Fabiola de Oliveira Paes Leme</w:t>
      </w:r>
      <w:r>
        <w:rPr>
          <w:rFonts w:ascii="Arial" w:eastAsia="Arial" w:hAnsi="Arial" w:cs="Arial"/>
          <w:b/>
          <w:color w:val="000000"/>
          <w:vertAlign w:val="superscript"/>
        </w:rPr>
        <w:t>3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:rsidR="005F525F" w:rsidRDefault="005F525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:rsidR="005F525F" w:rsidRDefault="002E631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UFMG – Belo Horizonte/MG – Brasil – *Contato: lauramobastos@gmail.com</w:t>
      </w:r>
    </w:p>
    <w:p w:rsidR="005F525F" w:rsidRDefault="002E631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Médica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Veterinária Residente – UFMG – Belo Horizonte/MG – Brasil  </w:t>
      </w:r>
    </w:p>
    <w:p w:rsidR="005F525F" w:rsidRDefault="002E631F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Professora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de Medicina Veterinária – UFMG – Belo Horizonte/MG – Brasil</w:t>
      </w:r>
    </w:p>
    <w:p w:rsidR="005F525F" w:rsidRDefault="005F525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sectPr w:rsidR="005F525F">
          <w:headerReference w:type="default" r:id="rId8"/>
          <w:pgSz w:w="11906" w:h="16838"/>
          <w:pgMar w:top="1560" w:right="424" w:bottom="720" w:left="426" w:header="397" w:footer="708" w:gutter="0"/>
          <w:pgNumType w:start="1"/>
          <w:cols w:space="720"/>
        </w:sectPr>
      </w:pPr>
    </w:p>
    <w:p w:rsidR="005F525F" w:rsidRDefault="002E631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2" w:name="_1fob9te" w:colFirst="0" w:colLast="0"/>
      <w:bookmarkEnd w:id="2"/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</w:t>
      </w:r>
      <w:r>
        <w:rPr>
          <w:rFonts w:ascii="Arial" w:eastAsia="Arial" w:hAnsi="Arial" w:cs="Arial"/>
          <w:b/>
          <w:color w:val="000000"/>
          <w:sz w:val="18"/>
          <w:szCs w:val="18"/>
        </w:rPr>
        <w:t>NTRODUÇÃO</w:t>
      </w:r>
    </w:p>
    <w:p w:rsidR="005F525F" w:rsidRDefault="002E63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A </w:t>
      </w:r>
      <w:r>
        <w:rPr>
          <w:rFonts w:ascii="Arial" w:eastAsia="Arial" w:hAnsi="Arial" w:cs="Arial"/>
          <w:color w:val="000000"/>
          <w:sz w:val="18"/>
          <w:szCs w:val="18"/>
        </w:rPr>
        <w:t>cebola (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Allium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cepa)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é um dos mais antigos componentes da alimentação humana, porém, a ingestão 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por cães </w:t>
      </w:r>
      <w:r>
        <w:rPr>
          <w:rFonts w:ascii="Arial" w:eastAsia="Arial" w:hAnsi="Arial" w:cs="Arial"/>
          <w:color w:val="000000"/>
          <w:sz w:val="18"/>
          <w:szCs w:val="18"/>
        </w:rPr>
        <w:t>pode resultar em graves casos de intoxicação, sendo o consumo de 15 a 30 g/kg do alimento suficiente para gerar alterações hematológicas importantes¹. Este quadro ocorre 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evido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presença de compostos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organossulfurados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no alimento que geram danos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oxidativos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aos eritrócitos causando uma anemia hemolítica¹. Os agentes oxidantes podem contribuir para a anemia de diversas formas. Uma delas é através de sua ação sobre a hemoglob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ina, resultando na formação de compostos mais instáveis, como a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metahemoglobina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que se precipita e agrega à membrana eritrocitária, formando os Corpúsculos de Heinz³. Já uma injúria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oxidativa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na membrana da hemácia leva a formação de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excentrócitos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 que sã</w:t>
      </w:r>
      <w:r>
        <w:rPr>
          <w:rFonts w:ascii="Arial" w:eastAsia="Arial" w:hAnsi="Arial" w:cs="Arial"/>
          <w:color w:val="000000"/>
          <w:sz w:val="18"/>
          <w:szCs w:val="18"/>
        </w:rPr>
        <w:t>o eritrócitos cuja hemoglobina está concentrada em apenas uma extremidade da célula². Ambas as alterações impedem a correta deformidade e fluidez da membrana das hemácias, aumentando sua destruição extra e intravascular³ especialmente quando atravessam peq</w:t>
      </w:r>
      <w:r>
        <w:rPr>
          <w:rFonts w:ascii="Arial" w:eastAsia="Arial" w:hAnsi="Arial" w:cs="Arial"/>
          <w:color w:val="000000"/>
          <w:sz w:val="18"/>
          <w:szCs w:val="18"/>
        </w:rPr>
        <w:t>uenos capilares, o que pode gerar quadros graves de anemia.</w:t>
      </w:r>
    </w:p>
    <w:p w:rsidR="005F525F" w:rsidRDefault="002E631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Esse texto objetiva relatar o caso de um cão intoxicado por cebola, com desenvolvimento de uma anemia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oxidativa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e que teve os sinais clínicos agravados pela presença prévia de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estomatócitos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decorr</w:t>
      </w:r>
      <w:r>
        <w:rPr>
          <w:rFonts w:ascii="Arial" w:eastAsia="Arial" w:hAnsi="Arial" w:cs="Arial"/>
          <w:color w:val="000000"/>
          <w:sz w:val="18"/>
          <w:szCs w:val="18"/>
        </w:rPr>
        <w:t>ente de uma possível alteração congênita.</w:t>
      </w:r>
    </w:p>
    <w:p w:rsidR="005F525F" w:rsidRDefault="005F525F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2"/>
          <w:szCs w:val="12"/>
        </w:rPr>
      </w:pPr>
    </w:p>
    <w:p w:rsidR="005F525F" w:rsidRDefault="002E631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:rsidR="005F525F" w:rsidRDefault="002E631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No dia 22/03/2021 um cão macho, Lulu da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Pomerânia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de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1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ano, pesando 4,5 kg foi atendido no Hospital Veterinária da UFMG. Ao exame clínico o animal se apresentou apático, TPC de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2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”, muco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sas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hipocoradas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frequência cardíaca e respiratória de 108 e 28, respectivamente, temperatura retal de 40,1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ºC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e 7% de desidratação. O animal estava com as vacinas e vermífugos em dia. Tutora relatou que recentemente o cão apresentou prostração, que se int</w:t>
      </w:r>
      <w:r>
        <w:rPr>
          <w:rFonts w:ascii="Arial" w:eastAsia="Arial" w:hAnsi="Arial" w:cs="Arial"/>
          <w:color w:val="000000"/>
          <w:sz w:val="18"/>
          <w:szCs w:val="18"/>
        </w:rPr>
        <w:t>ensificou nos últimos três dias. </w:t>
      </w:r>
    </w:p>
    <w:p w:rsidR="005F525F" w:rsidRDefault="002E631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Foi realizado um hemograma, que acusou uma anemia (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Ht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= 22%) e leucocitose de 17200 células/mm³, com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neutrofilia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. Nas observações de lâmina constavam presença de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excentrócitos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e corpúsculos de Heinz, achados característicos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de anemia hemolítica por causa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oxidativa</w:t>
      </w:r>
      <w:proofErr w:type="spellEnd"/>
      <w:r>
        <w:rPr>
          <w:rFonts w:ascii="Arial" w:eastAsia="Arial" w:hAnsi="Arial" w:cs="Arial"/>
          <w:color w:val="434343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Para melhor acompanhamento optou-se pela internação do animal, onde foi realizada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fluidoterapia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com ringer lactato para estabilização e administração de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dexametasona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para controle da anemia hemolítica. </w:t>
      </w:r>
    </w:p>
    <w:p w:rsidR="005F525F" w:rsidRDefault="002E631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No dia seguinte o animal se manteve prostrado,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taquipneico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e com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hiporexia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além do hemograma apresentar alterações cada vez mais significativas. A hidratação intravenosa levou a uma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hemodiluição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acentuando a anemia (17% de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Ht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). Porém, a leucocitose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neutr</w:t>
      </w:r>
      <w:r>
        <w:rPr>
          <w:rFonts w:ascii="Arial" w:eastAsia="Arial" w:hAnsi="Arial" w:cs="Arial"/>
          <w:color w:val="000000"/>
          <w:sz w:val="18"/>
          <w:szCs w:val="18"/>
        </w:rPr>
        <w:t>ofílica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se intensificou, apresentando 30500 células/mm³, com presença significativa de bastonetes 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metamielócitos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(Quadro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1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). Uma ultrassonografia foi realizada para busca de um foco inflamatório, acusando esplenomegalia 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nefropatia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bilateral. Em nova vi</w:t>
      </w:r>
      <w:r>
        <w:rPr>
          <w:rFonts w:ascii="Arial" w:eastAsia="Arial" w:hAnsi="Arial" w:cs="Arial"/>
          <w:color w:val="000000"/>
          <w:sz w:val="18"/>
          <w:szCs w:val="18"/>
        </w:rPr>
        <w:t>sita, a tutora relatou que há seis dias o animal havia ingerido metade de uma cebola. </w:t>
      </w:r>
    </w:p>
    <w:p w:rsidR="005F525F" w:rsidRDefault="002E631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Com o passar dos dias, apesar de ainda prostrado, o cão estava estável e mais reativo. O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eritrograma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indicou anemia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macrocítica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hipocrômica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presença de corpúsculos de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owell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Jolly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e alta contagem de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reticulócitos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indicando regeneração. Apesar disso, células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eritróides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nucleadas estavam sendo liberadas na corrente sanguínea, demonstrando acentuada resposta medular. A leucocitose se apresentava com intensidade crescente 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acentuado desvio nuclear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neutrofílico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à esquerda. Buscando uma redução no quadro inflamatório, a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dexametasona</w:t>
      </w:r>
      <w:proofErr w:type="spellEnd"/>
      <w:r w:rsidR="00F226C0">
        <w:rPr>
          <w:rFonts w:ascii="Arial" w:eastAsia="Arial" w:hAnsi="Arial" w:cs="Arial"/>
          <w:color w:val="000000"/>
          <w:sz w:val="18"/>
          <w:szCs w:val="18"/>
        </w:rPr>
        <w:t xml:space="preserve"> (0,25</w:t>
      </w:r>
      <w:proofErr w:type="gramStart"/>
      <w:r w:rsidR="00F226C0">
        <w:rPr>
          <w:rFonts w:ascii="Arial" w:eastAsia="Arial" w:hAnsi="Arial" w:cs="Arial"/>
          <w:color w:val="000000"/>
          <w:sz w:val="18"/>
          <w:szCs w:val="18"/>
        </w:rPr>
        <w:t>mg</w:t>
      </w:r>
      <w:proofErr w:type="gramEnd"/>
      <w:r w:rsidR="00F226C0">
        <w:rPr>
          <w:rFonts w:ascii="Arial" w:eastAsia="Arial" w:hAnsi="Arial" w:cs="Arial"/>
          <w:color w:val="000000"/>
          <w:sz w:val="18"/>
          <w:szCs w:val="18"/>
        </w:rPr>
        <w:t>/kg)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foi alterada para prednisona</w:t>
      </w:r>
      <w:r w:rsidR="00F226C0">
        <w:rPr>
          <w:rFonts w:ascii="Arial" w:eastAsia="Arial" w:hAnsi="Arial" w:cs="Arial"/>
          <w:color w:val="000000"/>
          <w:sz w:val="18"/>
          <w:szCs w:val="18"/>
        </w:rPr>
        <w:t xml:space="preserve"> (2mg/kg)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Para detecção de uma anemia </w:t>
      </w:r>
      <w:r>
        <w:rPr>
          <w:rFonts w:ascii="Arial" w:eastAsia="Arial" w:hAnsi="Arial" w:cs="Arial"/>
          <w:color w:val="000000"/>
          <w:sz w:val="18"/>
          <w:szCs w:val="18"/>
        </w:rPr>
        <w:lastRenderedPageBreak/>
        <w:t xml:space="preserve">hemolítica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imunomediada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 um teste de aglutinação em salina foi realizado e o mesmo 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apresentou negativo, o que em conjunto com a ausência de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esferócitos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possibilitou o descarte da suspeita. Com este resultado, o histórico, os valores do hemograma e os achados de lâmina, concluiu-se que o animal apresentava uma anemia hemolítica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oxidativ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consequente da intoxicação por cebola. Este alimento possui diversas substâncias oxidantes, que em excesso são tóxicas às hemácias, gerando oxidação da membrana eritrocitária, resultando na formação de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excentrócitos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e também da hemoglobina, que se preci</w:t>
      </w:r>
      <w:r>
        <w:rPr>
          <w:rFonts w:ascii="Arial" w:eastAsia="Arial" w:hAnsi="Arial" w:cs="Arial"/>
          <w:color w:val="000000"/>
          <w:sz w:val="18"/>
          <w:szCs w:val="18"/>
        </w:rPr>
        <w:t>pita e forma os corpúsculos de Heinz, sendo ambas as alterações prejudiciais ao correto funcionamento do eritrócito, culminando em destruição precoce.</w:t>
      </w:r>
    </w:p>
    <w:p w:rsidR="005F525F" w:rsidRDefault="002E631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Nos dias subsequentes o animal se apresentava cada vez mais ativo e a anemia estava mais branda, apesar 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 intensa liberação de células imaturas. Já a leucocitose continuava crescente. Em uma nova busca por um fator que estivesse agudizando o quadro, foi descoberta uma alteração eritrocitária descrita como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estomatocitose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 na qual as hemácias apresentam palide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z central, em formato de boca, no esfregaço sanguíneo. Este defeito aumenta a fragilidade das células vermelhas, podendo ser advindo de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hiper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ou desidratações celulares, desequilíbrios catiônicos como a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hipofosfatemia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 distúrbios enzimáticos eritrocitários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ou mesmo desordens congênitas. ⁴ Suspeitou-se que o animal era portador desta alteração de forma assintomática, mas que a extensa liberação de células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eritróides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pela medula em consequência da hemólise gerada pela intoxicação, permitiu uma maior quantidad</w:t>
      </w:r>
      <w:r>
        <w:rPr>
          <w:rFonts w:ascii="Arial" w:eastAsia="Arial" w:hAnsi="Arial" w:cs="Arial"/>
          <w:color w:val="000000"/>
          <w:sz w:val="18"/>
          <w:szCs w:val="18"/>
        </w:rPr>
        <w:t>e destas células defeituosas a alcançar a corrente sanguínea, agravando ainda mais o quadro. Com isso, optou-se pela associação de mais um imunossupressor,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 ciclosporina, para redução dos sinais clínicos do quadro.</w:t>
      </w:r>
    </w:p>
    <w:p w:rsidR="005F525F" w:rsidRDefault="002E63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No dia 27/03, pelo animal estar mais ati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vo na internação, além do hemograma apresentar melhoras, realizou-se a alta condicional, com indicação de retornos diários para acompanhamento hematológico. O tratamento com os imunossupressores deve permanecer até a normalização do hemograma, com redução </w:t>
      </w:r>
      <w:r>
        <w:rPr>
          <w:rFonts w:ascii="Arial" w:eastAsia="Arial" w:hAnsi="Arial" w:cs="Arial"/>
          <w:color w:val="000000"/>
          <w:sz w:val="18"/>
          <w:szCs w:val="18"/>
        </w:rPr>
        <w:t>lenta e gradual da ciclosporina, seguida da prednisona para evitar retorno das alterações hematológicas.</w:t>
      </w:r>
      <w:bookmarkStart w:id="3" w:name="_GoBack"/>
      <w:bookmarkEnd w:id="3"/>
    </w:p>
    <w:p w:rsidR="005F525F" w:rsidRDefault="00F226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D0C41C3" wp14:editId="0A43CD5B">
            <wp:simplePos x="0" y="0"/>
            <wp:positionH relativeFrom="column">
              <wp:posOffset>-97790</wp:posOffset>
            </wp:positionH>
            <wp:positionV relativeFrom="paragraph">
              <wp:posOffset>95250</wp:posOffset>
            </wp:positionV>
            <wp:extent cx="3600450" cy="145478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454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E631F">
        <w:rPr>
          <w:rFonts w:ascii="Arial" w:eastAsia="Arial" w:hAnsi="Arial" w:cs="Arial"/>
          <w:color w:val="000000"/>
          <w:sz w:val="18"/>
          <w:szCs w:val="18"/>
        </w:rPr>
        <w:t xml:space="preserve">Quadro </w:t>
      </w:r>
      <w:proofErr w:type="gramStart"/>
      <w:r w:rsidR="002E631F">
        <w:rPr>
          <w:rFonts w:ascii="Arial" w:eastAsia="Arial" w:hAnsi="Arial" w:cs="Arial"/>
          <w:color w:val="000000"/>
          <w:sz w:val="18"/>
          <w:szCs w:val="18"/>
        </w:rPr>
        <w:t>1</w:t>
      </w:r>
      <w:proofErr w:type="gramEnd"/>
      <w:r w:rsidR="002E631F">
        <w:rPr>
          <w:rFonts w:ascii="Arial" w:eastAsia="Arial" w:hAnsi="Arial" w:cs="Arial"/>
          <w:color w:val="000000"/>
          <w:sz w:val="18"/>
          <w:szCs w:val="18"/>
        </w:rPr>
        <w:t>: Evolução do hemograma ao longo do acompanhamento do cão relatado.</w:t>
      </w:r>
    </w:p>
    <w:p w:rsidR="005F525F" w:rsidRDefault="005F525F">
      <w:pPr>
        <w:spacing w:after="40"/>
        <w:jc w:val="both"/>
        <w:rPr>
          <w:rFonts w:ascii="Arial" w:eastAsia="Arial" w:hAnsi="Arial" w:cs="Arial"/>
          <w:sz w:val="10"/>
          <w:szCs w:val="10"/>
        </w:rPr>
      </w:pPr>
    </w:p>
    <w:p w:rsidR="005F525F" w:rsidRDefault="002E631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5F525F" w:rsidRDefault="002E631F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 ingestão de alimentos tóxicos, como a cebola, pode gerar intensas alterações no organismo dos cães. É comum a observação de apatia, anorexia, vômito 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diarréia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 além das significativas alterações hematológicas. A acentuada leucocitose e anemia hemolítica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oxidativa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são descritas na literatura como características do quadro. No caso em questão, a situação agravou-se pela presença de uma alteração eritrocitária, a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estomatocitose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 que contribuiu para a hemólise.</w:t>
      </w:r>
    </w:p>
    <w:sectPr w:rsidR="005F525F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31F" w:rsidRDefault="002E631F">
      <w:r>
        <w:separator/>
      </w:r>
    </w:p>
  </w:endnote>
  <w:endnote w:type="continuationSeparator" w:id="0">
    <w:p w:rsidR="002E631F" w:rsidRDefault="002E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31F" w:rsidRDefault="002E631F">
      <w:r>
        <w:separator/>
      </w:r>
    </w:p>
  </w:footnote>
  <w:footnote w:type="continuationSeparator" w:id="0">
    <w:p w:rsidR="002E631F" w:rsidRDefault="002E6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25F" w:rsidRDefault="002E63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FA312DA" wp14:editId="5E17268F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6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F525F" w:rsidRDefault="002E631F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Ciências </w:t>
    </w:r>
    <w:proofErr w:type="gramStart"/>
    <w:r>
      <w:rPr>
        <w:rFonts w:ascii="Arial Rounded" w:eastAsia="Arial Rounded" w:hAnsi="Arial Rounded" w:cs="Arial Rounded"/>
        <w:b/>
        <w:color w:val="002060"/>
        <w:sz w:val="28"/>
        <w:szCs w:val="28"/>
      </w:rPr>
      <w:t>Agrárias e Meio Ambiente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F525F"/>
    <w:rsid w:val="002E631F"/>
    <w:rsid w:val="005F525F"/>
    <w:rsid w:val="00F2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pBdr>
        <w:bottom w:val="single" w:sz="6" w:space="1" w:color="000000"/>
      </w:pBdr>
      <w:jc w:val="both"/>
      <w:outlineLvl w:val="2"/>
    </w:pPr>
    <w:rPr>
      <w:rFonts w:ascii="Arial" w:eastAsia="Arial" w:hAnsi="Arial" w:cs="Arial"/>
      <w:b/>
      <w:sz w:val="18"/>
      <w:szCs w:val="18"/>
    </w:rPr>
  </w:style>
  <w:style w:type="paragraph" w:styleId="Ttulo4">
    <w:name w:val="heading 4"/>
    <w:basedOn w:val="Normal"/>
    <w:next w:val="Normal"/>
    <w:pPr>
      <w:keepNext/>
      <w:keepLines/>
      <w:spacing w:before="40"/>
      <w:outlineLvl w:val="3"/>
    </w:pPr>
    <w:rPr>
      <w:rFonts w:ascii="Calibri" w:eastAsia="Calibri" w:hAnsi="Calibri" w:cs="Calibri"/>
      <w:i/>
      <w:color w:val="2F5496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6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pBdr>
        <w:bottom w:val="single" w:sz="6" w:space="1" w:color="000000"/>
      </w:pBdr>
      <w:jc w:val="both"/>
      <w:outlineLvl w:val="2"/>
    </w:pPr>
    <w:rPr>
      <w:rFonts w:ascii="Arial" w:eastAsia="Arial" w:hAnsi="Arial" w:cs="Arial"/>
      <w:b/>
      <w:sz w:val="18"/>
      <w:szCs w:val="18"/>
    </w:rPr>
  </w:style>
  <w:style w:type="paragraph" w:styleId="Ttulo4">
    <w:name w:val="heading 4"/>
    <w:basedOn w:val="Normal"/>
    <w:next w:val="Normal"/>
    <w:pPr>
      <w:keepNext/>
      <w:keepLines/>
      <w:spacing w:before="40"/>
      <w:outlineLvl w:val="3"/>
    </w:pPr>
    <w:rPr>
      <w:rFonts w:ascii="Calibri" w:eastAsia="Calibri" w:hAnsi="Calibri" w:cs="Calibri"/>
      <w:i/>
      <w:color w:val="2F5496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6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36E7D-3BFE-432F-B822-6CB0C0A0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1070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dcterms:created xsi:type="dcterms:W3CDTF">2021-05-22T12:16:00Z</dcterms:created>
  <dcterms:modified xsi:type="dcterms:W3CDTF">2021-05-22T12:16:00Z</dcterms:modified>
</cp:coreProperties>
</file>