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742" w:rsidRDefault="001F00BB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LUXAÇÃO DE PATELA EM CÃES: POSSIBILIDADE CLÍNICA OU CIRÚRGICA</w:t>
      </w:r>
    </w:p>
    <w:p w:rsidR="00500742" w:rsidRDefault="001F0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Felipe Álvaro de Aguiar Chaves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Bárbara Gonçalves Barbosa², </w:t>
      </w:r>
      <w:proofErr w:type="spellStart"/>
      <w:r>
        <w:rPr>
          <w:rFonts w:ascii="Arial" w:eastAsia="Arial" w:hAnsi="Arial" w:cs="Arial"/>
          <w:b/>
          <w:color w:val="000000"/>
        </w:rPr>
        <w:t>Déborah</w:t>
      </w:r>
      <w:proofErr w:type="spellEnd"/>
      <w:r>
        <w:rPr>
          <w:rFonts w:ascii="Arial" w:eastAsia="Arial" w:hAnsi="Arial" w:cs="Arial"/>
          <w:b/>
          <w:color w:val="000000"/>
        </w:rPr>
        <w:t xml:space="preserve"> Soares Vieira², Emily </w:t>
      </w:r>
      <w:proofErr w:type="spellStart"/>
      <w:r>
        <w:rPr>
          <w:rFonts w:ascii="Arial" w:eastAsia="Arial" w:hAnsi="Arial" w:cs="Arial"/>
          <w:b/>
          <w:color w:val="000000"/>
        </w:rPr>
        <w:t>Cheryl</w:t>
      </w:r>
      <w:proofErr w:type="spellEnd"/>
      <w:r>
        <w:rPr>
          <w:rFonts w:ascii="Arial" w:eastAsia="Arial" w:hAnsi="Arial" w:cs="Arial"/>
          <w:b/>
          <w:color w:val="000000"/>
        </w:rPr>
        <w:t xml:space="preserve"> Henrique Braga², Lucas de Oliveira Ferreira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, Lygia Gonçalves Penido Duarte², Diego Matheus Gomes de Lima³.</w:t>
      </w:r>
    </w:p>
    <w:p w:rsidR="00500742" w:rsidRDefault="001F0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felipealvaro@hotmail.com</w:t>
      </w:r>
    </w:p>
    <w:p w:rsidR="00500742" w:rsidRDefault="001F0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UFMG – Belo Horizonte/MG – Brasil</w:t>
      </w:r>
    </w:p>
    <w:p w:rsidR="00500742" w:rsidRDefault="001F0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</w:rPr>
        <w:t>²Médico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veterinário autônomo especializado em Cirurgia de tecidos moles e Ortopedia</w:t>
      </w:r>
    </w:p>
    <w:p w:rsidR="00500742" w:rsidRDefault="00500742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</w:pPr>
      <w:bookmarkStart w:id="0" w:name="_heading=h.gjdgxs" w:colFirst="0" w:colLast="0"/>
      <w:bookmarkEnd w:id="0"/>
    </w:p>
    <w:p w:rsidR="00E30CFC" w:rsidRDefault="00E30CF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sectPr w:rsidR="00E30CFC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500742" w:rsidRDefault="001F00B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:rsidR="00E30CFC" w:rsidRPr="00E30CFC" w:rsidRDefault="001F00BB" w:rsidP="00E30CFC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sz w:val="18"/>
          <w:szCs w:val="18"/>
        </w:rPr>
        <w:t>A luxação patelar é uma anormalidade recorrente que acomete joelhos de cães e possui origem congênita ou traumática. A sua fisiopatologia ainda não está bem elucidada, mas existem indícios de doença hereditária poligênica e multifatorial</w:t>
      </w:r>
      <w:r>
        <w:rPr>
          <w:rFonts w:ascii="Arial" w:eastAsia="Arial" w:hAnsi="Arial" w:cs="Arial"/>
          <w:sz w:val="18"/>
          <w:szCs w:val="18"/>
          <w:vertAlign w:val="superscript"/>
        </w:rPr>
        <w:t>1,4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Esta afecção é classificada em diferentes graus, com base na carga de </w:t>
      </w:r>
      <w:r w:rsidR="00705A9C">
        <w:rPr>
          <w:rFonts w:ascii="Arial" w:eastAsia="Arial" w:hAnsi="Arial" w:cs="Arial"/>
          <w:sz w:val="18"/>
          <w:szCs w:val="18"/>
        </w:rPr>
        <w:t>alterações</w:t>
      </w:r>
      <w:r>
        <w:rPr>
          <w:rFonts w:ascii="Arial" w:eastAsia="Arial" w:hAnsi="Arial" w:cs="Arial"/>
          <w:sz w:val="18"/>
          <w:szCs w:val="18"/>
        </w:rPr>
        <w:t xml:space="preserve"> presente</w:t>
      </w:r>
      <w:r w:rsidR="00705A9C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="00705A9C">
        <w:rPr>
          <w:rFonts w:ascii="Arial" w:eastAsia="Arial" w:hAnsi="Arial" w:cs="Arial"/>
          <w:sz w:val="18"/>
          <w:szCs w:val="18"/>
        </w:rPr>
        <w:t xml:space="preserve">graus </w:t>
      </w:r>
      <w:r>
        <w:rPr>
          <w:rFonts w:ascii="Arial" w:eastAsia="Arial" w:hAnsi="Arial" w:cs="Arial"/>
          <w:sz w:val="18"/>
          <w:szCs w:val="18"/>
        </w:rPr>
        <w:t>que varia</w:t>
      </w:r>
      <w:r w:rsidR="00705A9C"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 de I a IV. </w:t>
      </w:r>
      <w:r>
        <w:rPr>
          <w:rFonts w:ascii="Arial" w:eastAsia="Arial" w:hAnsi="Arial" w:cs="Arial"/>
          <w:color w:val="000000"/>
          <w:sz w:val="18"/>
          <w:szCs w:val="18"/>
        </w:rPr>
        <w:t>Os exames radiográficos são</w:t>
      </w:r>
      <w:r>
        <w:rPr>
          <w:rFonts w:ascii="Arial" w:eastAsia="Arial" w:hAnsi="Arial" w:cs="Arial"/>
          <w:sz w:val="18"/>
          <w:szCs w:val="18"/>
        </w:rPr>
        <w:t xml:space="preserve"> importantes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para a definição do grau da lesão no membro afetado junto ao exame clíni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Por ser uma doença degenerativa, o tratamento cirúrgico deve ser realizado o mais cedo possível, ainda quando os sinais clínicos se apresentarem leves, antes mesmo da evolução para uma claudicação </w:t>
      </w:r>
      <w:r>
        <w:rPr>
          <w:rFonts w:ascii="Arial" w:eastAsia="Arial" w:hAnsi="Arial" w:cs="Arial"/>
          <w:sz w:val="18"/>
          <w:szCs w:val="18"/>
        </w:rPr>
        <w:t>em graus limitantes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tratamento cirúrgico, visa a recuperação dos tecidos moles adjacentes, bem como do tecido ósseo, com o reposicionamento da </w:t>
      </w:r>
      <w:r>
        <w:rPr>
          <w:rFonts w:ascii="Arial" w:eastAsia="Arial" w:hAnsi="Arial" w:cs="Arial"/>
          <w:sz w:val="18"/>
          <w:szCs w:val="18"/>
        </w:rPr>
        <w:t>patela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no sulco troclear, permitindo amplitude de movimento ao membro afetado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Diante dos prejuízos causados pela luxação patelar à saúde e qualidade de vida do paciente</w:t>
      </w:r>
      <w:r w:rsidR="00705A9C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objetivo desta revisão é demonstrar a importância de um diagnóstico precoce de luxação de patela realizando o exame clínico ortopédico, auxiliado pelo diagnóstico por imagem para que lesões iniciais sejam tratadas clinicamente e, nos casos</w:t>
      </w:r>
      <w:r w:rsidR="00705A9C">
        <w:rPr>
          <w:rFonts w:ascii="Arial" w:eastAsia="Arial" w:hAnsi="Arial" w:cs="Arial"/>
          <w:color w:val="000000"/>
          <w:sz w:val="18"/>
          <w:szCs w:val="18"/>
        </w:rPr>
        <w:t xml:space="preserve"> em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05A9C">
        <w:rPr>
          <w:rFonts w:ascii="Arial" w:eastAsia="Arial" w:hAnsi="Arial" w:cs="Arial"/>
          <w:color w:val="000000"/>
          <w:sz w:val="18"/>
          <w:szCs w:val="18"/>
        </w:rPr>
        <w:t>que a degeneração prossiga ou</w:t>
      </w:r>
      <w:r w:rsidR="00A22B7A">
        <w:rPr>
          <w:rFonts w:ascii="Arial" w:eastAsia="Arial" w:hAnsi="Arial" w:cs="Arial"/>
          <w:color w:val="000000"/>
          <w:sz w:val="18"/>
          <w:szCs w:val="18"/>
        </w:rPr>
        <w:t xml:space="preserve"> já</w:t>
      </w:r>
      <w:r w:rsidR="00705A9C">
        <w:rPr>
          <w:rFonts w:ascii="Arial" w:eastAsia="Arial" w:hAnsi="Arial" w:cs="Arial"/>
          <w:color w:val="000000"/>
          <w:sz w:val="18"/>
          <w:szCs w:val="18"/>
        </w:rPr>
        <w:t xml:space="preserve"> exista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2303B5">
        <w:rPr>
          <w:rFonts w:ascii="Arial" w:eastAsia="Arial" w:hAnsi="Arial" w:cs="Arial"/>
          <w:color w:val="000000"/>
          <w:sz w:val="18"/>
          <w:szCs w:val="18"/>
        </w:rPr>
        <w:t>seja realizado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5570A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z w:val="18"/>
          <w:szCs w:val="18"/>
        </w:rPr>
        <w:t>procedimento cirúrgico</w:t>
      </w:r>
      <w:r w:rsidR="002303B5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500742" w:rsidRDefault="001F00B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500742" w:rsidRDefault="001F00BB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Para a fundamentação desta revisão foram acessados os seguintes bancos de dados: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BVS Brasil. Utilizou-se os descritores luxação de patela cães, tratamento luxação de patela cães, graus luxação de patela cães. Foram selecionados artigos publicados entre os anos de 2009 a 2021 na língua portuguesa e na língua inglesa. </w:t>
      </w:r>
    </w:p>
    <w:p w:rsidR="00500742" w:rsidRDefault="001F00B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500742" w:rsidRDefault="001F00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vertAlign w:val="sub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>A importância das enfermidades articulares em cães vem tomando proporções maiores a cada dia. Em um estudo retrospectivo foram avaliados 889 cães com patologias ortopédicas. Destes, a luxação de patela foi diagnosticada em 13% (n=116) dos casos, ficando atrás apenas das fraturas dos ossos longos com 31,9% (n=284) e da displasia coxofemoral que representou 15,1% (n=134) dos animais acometidos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5,6</w:t>
      </w:r>
      <w:r>
        <w:rPr>
          <w:rFonts w:ascii="Arial" w:eastAsia="Arial" w:hAnsi="Arial" w:cs="Arial"/>
          <w:color w:val="000000"/>
          <w:sz w:val="18"/>
          <w:szCs w:val="18"/>
          <w:vertAlign w:val="subscript"/>
        </w:rPr>
        <w:t>.</w:t>
      </w:r>
    </w:p>
    <w:p w:rsidR="00500742" w:rsidRDefault="001F00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Os sinais clínicos da luxação de patela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incluem claudicação intermitente ou constante, defeitos conformacionais no fêmur e/ou tíbia, dor a palpação, resistência a locomoção e redução da massa muscular do </w:t>
      </w:r>
      <w:r>
        <w:rPr>
          <w:rFonts w:ascii="Arial" w:eastAsia="Arial" w:hAnsi="Arial" w:cs="Arial"/>
          <w:sz w:val="18"/>
          <w:szCs w:val="18"/>
        </w:rPr>
        <w:t>membro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afetado.</w:t>
      </w:r>
      <w:r>
        <w:rPr>
          <w:rFonts w:ascii="Arial" w:eastAsia="Arial" w:hAnsi="Arial" w:cs="Arial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sz w:val="18"/>
          <w:szCs w:val="18"/>
        </w:rPr>
        <w:t>o exame físico é importante analisar possíveis crepitações, incapacidade de redução da patela ao seu posicionamento anatômico,</w:t>
      </w:r>
      <w:r>
        <w:rPr>
          <w:rFonts w:ascii="Arial" w:eastAsia="Arial" w:hAnsi="Arial" w:cs="Arial"/>
          <w:sz w:val="18"/>
          <w:szCs w:val="18"/>
        </w:rPr>
        <w:t xml:space="preserve"> luxação forçada,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profundidade do sulco troclear, posicionamento da tuberosidade tibial, localização da patela, incapacidade de movimentação do membro afetado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presença ou ausência do movimento de gaveta, desvios angulares, dor a p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z w:val="18"/>
          <w:szCs w:val="18"/>
        </w:rPr>
        <w:t>pação.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705A9C">
        <w:rPr>
          <w:rFonts w:ascii="Arial" w:eastAsia="Arial" w:hAnsi="Arial" w:cs="Arial"/>
          <w:sz w:val="18"/>
          <w:szCs w:val="18"/>
        </w:rPr>
        <w:t xml:space="preserve">Os graus de luxação serão definidos pelas alterações observadas no exame físico associado ao diagnóstico por imagem </w:t>
      </w:r>
      <w:r>
        <w:rPr>
          <w:rFonts w:ascii="Arial" w:eastAsia="Arial" w:hAnsi="Arial" w:cs="Arial"/>
          <w:sz w:val="18"/>
          <w:szCs w:val="18"/>
        </w:rPr>
        <w:t>(Tabela 1)</w:t>
      </w:r>
      <w:r>
        <w:rPr>
          <w:rFonts w:ascii="Arial" w:eastAsia="Arial" w:hAnsi="Arial" w:cs="Arial"/>
          <w:sz w:val="18"/>
          <w:szCs w:val="18"/>
          <w:vertAlign w:val="superscript"/>
        </w:rPr>
        <w:t>1,2,3,5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:rsidR="00500742" w:rsidRDefault="001F00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diagnóstico radiográfico é o </w:t>
      </w:r>
      <w:r>
        <w:rPr>
          <w:rFonts w:ascii="Arial" w:eastAsia="Arial" w:hAnsi="Arial" w:cs="Arial"/>
          <w:sz w:val="18"/>
          <w:szCs w:val="18"/>
        </w:rPr>
        <w:t>auxiliar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para a tomada de decisão quanto ao tratamento clínico</w:t>
      </w:r>
      <w:r>
        <w:rPr>
          <w:rFonts w:ascii="Arial" w:eastAsia="Arial" w:hAnsi="Arial" w:cs="Arial"/>
          <w:sz w:val="18"/>
          <w:szCs w:val="18"/>
        </w:rPr>
        <w:t xml:space="preserve"> ou </w:t>
      </w:r>
      <w:r>
        <w:rPr>
          <w:rFonts w:ascii="Arial" w:eastAsia="Arial" w:hAnsi="Arial" w:cs="Arial"/>
          <w:color w:val="000000"/>
          <w:sz w:val="18"/>
          <w:szCs w:val="18"/>
        </w:rPr>
        <w:t>cirúrgico.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Nas radiografias será possível observar o deslocamento medial ou lateral da patela, em relação ao sulco troclear, principalmente nos graus mais avançados como o III e IV, onde a luxação é permanente ou recorrente. Já nos graus I e II é possível que não ocorra a visualização da luxação, pois esta é </w:t>
      </w:r>
      <w:r>
        <w:rPr>
          <w:rFonts w:ascii="Arial" w:eastAsia="Arial" w:hAnsi="Arial" w:cs="Arial"/>
          <w:sz w:val="18"/>
          <w:szCs w:val="18"/>
        </w:rPr>
        <w:t>intermitente ou forçada</w:t>
      </w:r>
      <w:r>
        <w:rPr>
          <w:rFonts w:ascii="Arial" w:eastAsia="Arial" w:hAnsi="Arial" w:cs="Arial"/>
          <w:color w:val="000000"/>
          <w:sz w:val="18"/>
          <w:szCs w:val="18"/>
        </w:rPr>
        <w:t>. Neste último caso o exame físico definirá o tratamento adequado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3,5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500742" w:rsidRDefault="001F00BB" w:rsidP="007D4BEA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tratamento da luxação patelar pode ser conservativo ou cirúrgico. O tratamento conservativo geralmente está limitado aos cães com luxação grau I sem sinais de claudicação e com pouco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acometimento articular. Neste caso fármacos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condroprotetores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antinflamatóri</w:t>
      </w:r>
      <w:bookmarkStart w:id="2" w:name="_GoBack"/>
      <w:bookmarkEnd w:id="2"/>
      <w:r>
        <w:rPr>
          <w:rFonts w:ascii="Arial" w:eastAsia="Arial" w:hAnsi="Arial" w:cs="Arial"/>
          <w:color w:val="000000"/>
          <w:sz w:val="18"/>
          <w:szCs w:val="18"/>
        </w:rPr>
        <w:t>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não esteroidais são indicados por período prolongado associados ao manejo ambiental,</w:t>
      </w:r>
      <w:r w:rsidR="00E30CFC">
        <w:rPr>
          <w:rFonts w:ascii="Arial" w:eastAsia="Arial" w:hAnsi="Arial" w:cs="Arial"/>
          <w:color w:val="000000"/>
          <w:sz w:val="18"/>
          <w:szCs w:val="18"/>
        </w:rPr>
        <w:t xml:space="preserve"> onde se impõe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restrições aos pacientes em relação aos movimentos que causem impacto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3,5,6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500742" w:rsidRDefault="001F00BB" w:rsidP="007D4BEA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tratamento cirúrgico deve ser orientado de modo a permitir o alinhamento do mecanismo extensor (quadríceps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femoral) e a estabilização da patela na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tróclea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femoral.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Caso estejam presentes anormalidades anatômicas, que gerem tensão para luxação, nos tecidos moles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periarticulares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ou nos tecidos ósseos com alterações torcionais e angulares, estas alterações devem ser corrigidas. A correção cirúrgica é possível por meio das técnicas de aprofundamento do sulco-troclear, da transposição da tuberosidade </w:t>
      </w:r>
      <w:r>
        <w:rPr>
          <w:rFonts w:ascii="Arial" w:eastAsia="Arial" w:hAnsi="Arial" w:cs="Arial"/>
          <w:sz w:val="18"/>
          <w:szCs w:val="18"/>
        </w:rPr>
        <w:t>tibial,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 transposição da cabeça fibular</w:t>
      </w:r>
      <w:r w:rsidR="002259D0">
        <w:rPr>
          <w:rFonts w:ascii="Arial" w:eastAsia="Arial" w:hAnsi="Arial" w:cs="Arial"/>
          <w:color w:val="000000"/>
          <w:sz w:val="18"/>
          <w:szCs w:val="18"/>
        </w:rPr>
        <w:t xml:space="preserve">, imbricação da cápsula, </w:t>
      </w:r>
      <w:proofErr w:type="spellStart"/>
      <w:r w:rsidR="002259D0">
        <w:rPr>
          <w:rFonts w:ascii="Arial" w:eastAsia="Arial" w:hAnsi="Arial" w:cs="Arial"/>
          <w:color w:val="000000"/>
          <w:sz w:val="18"/>
          <w:szCs w:val="18"/>
        </w:rPr>
        <w:t>desmotomia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as osteotomias corretivas do fêmur e da tíbia em conjunto ou em separado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1,6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500742" w:rsidRDefault="001F00BB" w:rsidP="007D4BEA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Nas luxações de graus I, II e III, o prognóstico é favorável, enquanto nas luxações de grau IV o prognóstico é reservado a desfavorável em virtude das anormalidades presentes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3,4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Em 2011 articulações tratadas cirurgicamente foram examinadas clinicamente quanto </w:t>
      </w:r>
      <w:r>
        <w:rPr>
          <w:rFonts w:ascii="Arial" w:eastAsia="Arial" w:hAnsi="Arial" w:cs="Arial"/>
          <w:sz w:val="18"/>
          <w:szCs w:val="18"/>
        </w:rPr>
        <w:t>à claudicação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 ao apoio do membro entre a primeira e oitava semana de pós-operatório.</w:t>
      </w:r>
      <w:r w:rsidR="00850EB3">
        <w:rPr>
          <w:rFonts w:ascii="Arial" w:eastAsia="Arial" w:hAnsi="Arial" w:cs="Arial"/>
          <w:color w:val="000000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escore de claudicação foi pontuado de 1 a 4, respectivamente com animal apoiando o membro ao solo e não apoiando o membro ao solo. Observou-se pontuação de claudicação 1 e 2 em animais tratados nos graus entre I e III de luxação patelar. Doutra forma os animais que efetivaram o tratamento no grau IV de luxação patelar apresentaram pontuação 4 de claudicação, ou seja, quanto mais tardio o tratamento maior a grau de lesão e pior o prognóstico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Tais observações demonstram que graus mais avançados de luxação patelar são mais dificilmente revertidos, mesmo com o tratamento cirúrgico, o que corrobora a necessidade de diagnóstico precoce e tratamento imediato. </w:t>
      </w:r>
    </w:p>
    <w:p w:rsidR="00500742" w:rsidRDefault="00500742" w:rsidP="007D4BEA">
      <w:pPr>
        <w:jc w:val="both"/>
        <w:rPr>
          <w:rFonts w:ascii="Arial" w:eastAsia="Arial" w:hAnsi="Arial" w:cs="Arial"/>
          <w:sz w:val="18"/>
          <w:szCs w:val="18"/>
        </w:rPr>
      </w:pPr>
    </w:p>
    <w:p w:rsidR="007D4BEA" w:rsidRDefault="001F00BB" w:rsidP="007D4BEA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Tabela 1: Graus de luxação e suas alterações</w:t>
      </w:r>
      <w:r>
        <w:rPr>
          <w:rFonts w:ascii="Arial" w:eastAsia="Arial" w:hAnsi="Arial" w:cs="Arial"/>
          <w:sz w:val="18"/>
          <w:szCs w:val="18"/>
          <w:vertAlign w:val="superscript"/>
        </w:rPr>
        <w:t>1,2,3,5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tbl>
      <w:tblPr>
        <w:tblStyle w:val="Tabelacomgrade"/>
        <w:tblW w:w="5326" w:type="dxa"/>
        <w:tblBorders>
          <w:left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51"/>
        <w:gridCol w:w="4475"/>
      </w:tblGrid>
      <w:tr w:rsidR="00500742" w:rsidTr="000129B3">
        <w:trPr>
          <w:trHeight w:val="449"/>
        </w:trPr>
        <w:tc>
          <w:tcPr>
            <w:tcW w:w="851" w:type="dxa"/>
          </w:tcPr>
          <w:p w:rsidR="00500742" w:rsidRDefault="001F00BB" w:rsidP="00A13F94">
            <w:pPr>
              <w:widowControl w:val="0"/>
              <w:pBdr>
                <w:top w:val="nil"/>
                <w:left w:val="nil"/>
                <w:bottom w:val="nil"/>
                <w:right w:val="nil"/>
                <w:between w:val="single" w:sz="4" w:space="1" w:color="auto"/>
              </w:pBdr>
              <w:shd w:val="clear" w:color="auto" w:fill="FFFFFF" w:themeFill="background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Grau I</w:t>
            </w:r>
          </w:p>
        </w:tc>
        <w:tc>
          <w:tcPr>
            <w:tcW w:w="4475" w:type="dxa"/>
            <w:tcBorders>
              <w:right w:val="nil"/>
            </w:tcBorders>
          </w:tcPr>
          <w:p w:rsidR="00500742" w:rsidRDefault="001F00BB" w:rsidP="00A13F94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luxação é forçada pelo examinador. Flexão e extensão do joelho continuam normais.</w:t>
            </w:r>
            <w:r w:rsidR="00850EB3">
              <w:rPr>
                <w:rFonts w:ascii="Arial" w:eastAsia="Arial" w:hAnsi="Arial" w:cs="Arial"/>
                <w:sz w:val="18"/>
                <w:szCs w:val="18"/>
              </w:rPr>
              <w:t xml:space="preserve"> Pouco acometimento articular. Não visível ao exame de imagem. </w:t>
            </w:r>
            <w:r w:rsidR="002259D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500742" w:rsidTr="000129B3">
        <w:trPr>
          <w:trHeight w:val="449"/>
        </w:trPr>
        <w:tc>
          <w:tcPr>
            <w:tcW w:w="851" w:type="dxa"/>
          </w:tcPr>
          <w:p w:rsidR="00500742" w:rsidRDefault="001F00BB" w:rsidP="00A13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Grau II</w:t>
            </w:r>
          </w:p>
        </w:tc>
        <w:tc>
          <w:tcPr>
            <w:tcW w:w="4475" w:type="dxa"/>
            <w:tcBorders>
              <w:right w:val="nil"/>
            </w:tcBorders>
          </w:tcPr>
          <w:p w:rsidR="00500742" w:rsidRDefault="001F00BB" w:rsidP="00A13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 luxação é intermitente, com ou sem auxílio do examinador. Presença de desvios angulares. Flexão e extensão do </w:t>
            </w:r>
            <w:r w:rsidR="00850EB3">
              <w:rPr>
                <w:rFonts w:ascii="Arial" w:eastAsia="Arial" w:hAnsi="Arial" w:cs="Arial"/>
                <w:sz w:val="18"/>
                <w:szCs w:val="18"/>
              </w:rPr>
              <w:t>joelho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continuam normais.</w:t>
            </w:r>
            <w:r w:rsidR="00850EB3">
              <w:rPr>
                <w:rFonts w:ascii="Arial" w:eastAsia="Arial" w:hAnsi="Arial" w:cs="Arial"/>
                <w:sz w:val="18"/>
                <w:szCs w:val="18"/>
              </w:rPr>
              <w:t xml:space="preserve"> Pode ser visível ao exame de imagem.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500742" w:rsidTr="000129B3">
        <w:trPr>
          <w:trHeight w:val="449"/>
        </w:trPr>
        <w:tc>
          <w:tcPr>
            <w:tcW w:w="851" w:type="dxa"/>
          </w:tcPr>
          <w:p w:rsidR="00500742" w:rsidRDefault="001F00BB" w:rsidP="00A13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Grau III</w:t>
            </w:r>
          </w:p>
        </w:tc>
        <w:tc>
          <w:tcPr>
            <w:tcW w:w="4475" w:type="dxa"/>
            <w:tcBorders>
              <w:right w:val="nil"/>
            </w:tcBorders>
          </w:tcPr>
          <w:p w:rsidR="00500742" w:rsidRDefault="001F00BB" w:rsidP="00A13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Luxação é permanente ou recorrente. Podem apresentar deformidades</w:t>
            </w:r>
            <w:r w:rsidR="00850EB3">
              <w:rPr>
                <w:rFonts w:ascii="Arial" w:eastAsia="Arial" w:hAnsi="Arial" w:cs="Arial"/>
                <w:sz w:val="18"/>
                <w:szCs w:val="18"/>
              </w:rPr>
              <w:t xml:space="preserve"> angulares 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 fêmur e</w:t>
            </w:r>
            <w:r w:rsidR="002303B5">
              <w:rPr>
                <w:rFonts w:ascii="Arial" w:eastAsia="Arial" w:hAnsi="Arial" w:cs="Arial"/>
                <w:sz w:val="18"/>
                <w:szCs w:val="18"/>
              </w:rPr>
              <w:t>/ou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tíbia. </w:t>
            </w:r>
            <w:r w:rsidR="002303B5">
              <w:rPr>
                <w:rFonts w:ascii="Arial" w:eastAsia="Arial" w:hAnsi="Arial" w:cs="Arial"/>
                <w:sz w:val="18"/>
                <w:szCs w:val="18"/>
              </w:rPr>
              <w:t>Flexão e extensão do joelho podem</w:t>
            </w:r>
            <w:r w:rsidR="00850EB3">
              <w:rPr>
                <w:rFonts w:ascii="Arial" w:eastAsia="Arial" w:hAnsi="Arial" w:cs="Arial"/>
                <w:sz w:val="18"/>
                <w:szCs w:val="18"/>
              </w:rPr>
              <w:t xml:space="preserve"> ser </w:t>
            </w:r>
            <w:r>
              <w:rPr>
                <w:rFonts w:ascii="Arial" w:eastAsia="Arial" w:hAnsi="Arial" w:cs="Arial"/>
                <w:sz w:val="18"/>
                <w:szCs w:val="18"/>
              </w:rPr>
              <w:t>dolorosa</w:t>
            </w:r>
            <w:r w:rsidR="002303B5"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850EB3">
              <w:rPr>
                <w:rFonts w:ascii="Arial" w:eastAsia="Arial" w:hAnsi="Arial" w:cs="Arial"/>
                <w:sz w:val="18"/>
                <w:szCs w:val="18"/>
              </w:rPr>
              <w:t xml:space="preserve"> Pode ser visível ao exame de imagem. </w:t>
            </w:r>
          </w:p>
        </w:tc>
      </w:tr>
      <w:tr w:rsidR="00500742" w:rsidTr="000129B3">
        <w:trPr>
          <w:trHeight w:val="1108"/>
        </w:trPr>
        <w:tc>
          <w:tcPr>
            <w:tcW w:w="851" w:type="dxa"/>
          </w:tcPr>
          <w:p w:rsidR="00500742" w:rsidRDefault="001F00BB" w:rsidP="00A13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Grau IV</w:t>
            </w:r>
          </w:p>
        </w:tc>
        <w:tc>
          <w:tcPr>
            <w:tcW w:w="4475" w:type="dxa"/>
            <w:tcBorders>
              <w:right w:val="nil"/>
            </w:tcBorders>
          </w:tcPr>
          <w:p w:rsidR="00500742" w:rsidRDefault="00D3635E" w:rsidP="00A13F94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="001F00BB">
              <w:rPr>
                <w:rFonts w:ascii="Arial" w:eastAsia="Arial" w:hAnsi="Arial" w:cs="Arial"/>
                <w:sz w:val="18"/>
                <w:szCs w:val="18"/>
              </w:rPr>
              <w:t xml:space="preserve">Luxação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é </w:t>
            </w:r>
            <w:r w:rsidR="001F00BB">
              <w:rPr>
                <w:rFonts w:ascii="Arial" w:eastAsia="Arial" w:hAnsi="Arial" w:cs="Arial"/>
                <w:sz w:val="18"/>
                <w:szCs w:val="18"/>
              </w:rPr>
              <w:t xml:space="preserve">permanente sem possibilidade de retorno. </w:t>
            </w:r>
            <w:r w:rsidR="00850EB3">
              <w:rPr>
                <w:rFonts w:ascii="Arial" w:eastAsia="Arial" w:hAnsi="Arial" w:cs="Arial"/>
                <w:sz w:val="18"/>
                <w:szCs w:val="18"/>
              </w:rPr>
              <w:t xml:space="preserve">Acometimento articular. </w:t>
            </w:r>
            <w:r w:rsidR="001F00BB">
              <w:rPr>
                <w:rFonts w:ascii="Arial" w:eastAsia="Arial" w:hAnsi="Arial" w:cs="Arial"/>
                <w:sz w:val="18"/>
                <w:szCs w:val="18"/>
              </w:rPr>
              <w:t xml:space="preserve">Sulco troclear raso, deformações de quadríceps femoral, deformidades </w:t>
            </w:r>
            <w:r w:rsidR="00E30CFC">
              <w:rPr>
                <w:rFonts w:ascii="Arial" w:eastAsia="Arial" w:hAnsi="Arial" w:cs="Arial"/>
                <w:sz w:val="18"/>
                <w:szCs w:val="18"/>
              </w:rPr>
              <w:t>angulares e</w:t>
            </w:r>
            <w:r w:rsidR="001F00BB">
              <w:rPr>
                <w:rFonts w:ascii="Arial" w:eastAsia="Arial" w:hAnsi="Arial" w:cs="Arial"/>
                <w:sz w:val="18"/>
                <w:szCs w:val="18"/>
              </w:rPr>
              <w:t xml:space="preserve"> do platô tibial.</w:t>
            </w:r>
            <w:r w:rsidR="00850EB3">
              <w:rPr>
                <w:rFonts w:ascii="Arial" w:eastAsia="Arial" w:hAnsi="Arial" w:cs="Arial"/>
                <w:sz w:val="18"/>
                <w:szCs w:val="18"/>
              </w:rPr>
              <w:t xml:space="preserve"> Visível ao exame de imagem. </w:t>
            </w:r>
            <w:r w:rsidR="001F00BB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500742" w:rsidRDefault="00500742" w:rsidP="007D4BEA">
      <w:pPr>
        <w:jc w:val="both"/>
        <w:rPr>
          <w:rFonts w:ascii="Arial" w:eastAsia="Arial" w:hAnsi="Arial" w:cs="Arial"/>
          <w:sz w:val="18"/>
          <w:szCs w:val="18"/>
        </w:rPr>
      </w:pPr>
    </w:p>
    <w:p w:rsidR="002303B5" w:rsidRPr="007D4BEA" w:rsidRDefault="001F00BB" w:rsidP="00BE587E">
      <w:pPr>
        <w:pBdr>
          <w:bottom w:val="single" w:sz="4" w:space="1" w:color="auto"/>
        </w:pBdr>
        <w:spacing w:after="96"/>
        <w:jc w:val="both"/>
        <w:rPr>
          <w:rFonts w:ascii="Arial" w:eastAsia="Arial" w:hAnsi="Arial" w:cs="Arial"/>
          <w:b/>
          <w:sz w:val="18"/>
          <w:szCs w:val="18"/>
        </w:rPr>
      </w:pPr>
      <w:r w:rsidRPr="007D4BEA"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500742" w:rsidRPr="002303B5" w:rsidRDefault="001F00BB" w:rsidP="007D4BEA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diagnóstico da luxação de patela se baseia no exame clínico ortopédico junto ao diagnóstico por imagem. Quando apenas o tratamento conservador não é possível o tratamento cirúrgico passa a ser o de escolha.  O quanto antes se diagnostique a luxação de patela melhor o prognóstico do paciente.</w:t>
      </w:r>
    </w:p>
    <w:sectPr w:rsidR="00500742" w:rsidRPr="002303B5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2EB" w:rsidRDefault="00A962EB">
      <w:r>
        <w:separator/>
      </w:r>
    </w:p>
  </w:endnote>
  <w:endnote w:type="continuationSeparator" w:id="0">
    <w:p w:rsidR="00A962EB" w:rsidRDefault="00A9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2EB" w:rsidRDefault="00A962EB">
      <w:r>
        <w:separator/>
      </w:r>
    </w:p>
  </w:footnote>
  <w:footnote w:type="continuationSeparator" w:id="0">
    <w:p w:rsidR="00A962EB" w:rsidRDefault="00A9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742" w:rsidRDefault="001F00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6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00742" w:rsidRDefault="001F00BB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742"/>
    <w:rsid w:val="000129B3"/>
    <w:rsid w:val="001748CF"/>
    <w:rsid w:val="001A4591"/>
    <w:rsid w:val="001F00BB"/>
    <w:rsid w:val="002259D0"/>
    <w:rsid w:val="002303B5"/>
    <w:rsid w:val="0042122B"/>
    <w:rsid w:val="00500742"/>
    <w:rsid w:val="00705A9C"/>
    <w:rsid w:val="007D4BEA"/>
    <w:rsid w:val="0080243C"/>
    <w:rsid w:val="00850EB3"/>
    <w:rsid w:val="009D319C"/>
    <w:rsid w:val="00A13F94"/>
    <w:rsid w:val="00A22B7A"/>
    <w:rsid w:val="00A81F01"/>
    <w:rsid w:val="00A962EB"/>
    <w:rsid w:val="00BE587E"/>
    <w:rsid w:val="00C5570A"/>
    <w:rsid w:val="00D3635E"/>
    <w:rsid w:val="00E30CFC"/>
    <w:rsid w:val="00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8E59"/>
  <w15:docId w15:val="{6114BF2D-D0B6-4294-A79D-29AC189D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DF5D4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5D45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0D90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0D90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FB60B6"/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BE5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Qyb5xCch/dmm3A+2kpFjmyiiXQ==">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CEBDBD-91A7-4EE9-98B5-6B649D0F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Plantao</cp:lastModifiedBy>
  <cp:revision>2</cp:revision>
  <dcterms:created xsi:type="dcterms:W3CDTF">2021-05-23T11:32:00Z</dcterms:created>
  <dcterms:modified xsi:type="dcterms:W3CDTF">2021-05-23T11:32:00Z</dcterms:modified>
</cp:coreProperties>
</file>