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E8A" w:rsidRDefault="00551159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smallCaps/>
          <w:sz w:val="22"/>
          <w:szCs w:val="22"/>
        </w:rPr>
        <w:t>ESCORE DE CONDIÇÃO CORPORAL</w:t>
      </w:r>
      <w:r w:rsidR="00A84AB9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(ECC) </w:t>
      </w:r>
      <w:r w:rsidR="00A84AB9">
        <w:rPr>
          <w:rFonts w:ascii="Arial" w:eastAsia="Arial" w:hAnsi="Arial" w:cs="Arial"/>
          <w:b/>
          <w:smallCaps/>
          <w:sz w:val="22"/>
          <w:szCs w:val="22"/>
        </w:rPr>
        <w:t xml:space="preserve">COMO </w:t>
      </w:r>
      <w:r w:rsidR="00563E0D">
        <w:rPr>
          <w:rFonts w:ascii="Arial" w:eastAsia="Arial" w:hAnsi="Arial" w:cs="Arial"/>
          <w:b/>
          <w:smallCaps/>
          <w:sz w:val="22"/>
          <w:szCs w:val="22"/>
        </w:rPr>
        <w:t>IMPORTANTE</w:t>
      </w:r>
      <w:r w:rsidR="00A84AB9">
        <w:rPr>
          <w:rFonts w:ascii="Arial" w:eastAsia="Arial" w:hAnsi="Arial" w:cs="Arial"/>
          <w:b/>
          <w:smallCaps/>
          <w:sz w:val="22"/>
          <w:szCs w:val="22"/>
        </w:rPr>
        <w:t xml:space="preserve"> DESAFIO NA </w:t>
      </w:r>
      <w:r w:rsidR="00563E0D">
        <w:rPr>
          <w:rFonts w:ascii="Arial" w:eastAsia="Arial" w:hAnsi="Arial" w:cs="Arial"/>
          <w:b/>
          <w:smallCaps/>
          <w:sz w:val="22"/>
          <w:szCs w:val="22"/>
        </w:rPr>
        <w:t>INSEMINAÇÃO ARTIFICIAL EM TEMPO FIXO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(IATF</w:t>
      </w:r>
      <w:r w:rsidR="00563E0D">
        <w:rPr>
          <w:rFonts w:ascii="Arial" w:eastAsia="Arial" w:hAnsi="Arial" w:cs="Arial"/>
          <w:b/>
          <w:smallCaps/>
          <w:sz w:val="22"/>
          <w:szCs w:val="22"/>
        </w:rPr>
        <w:t xml:space="preserve">) </w:t>
      </w:r>
      <w:r>
        <w:rPr>
          <w:rFonts w:ascii="Arial" w:eastAsia="Arial" w:hAnsi="Arial" w:cs="Arial"/>
          <w:b/>
          <w:smallCaps/>
          <w:sz w:val="22"/>
          <w:szCs w:val="22"/>
        </w:rPr>
        <w:t>DE BOVINOS</w:t>
      </w:r>
    </w:p>
    <w:p w:rsidR="005B3E8A" w:rsidRDefault="00A84A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Reginaldo José dos Santos</w:t>
      </w:r>
      <w:r w:rsidR="00034083">
        <w:rPr>
          <w:rFonts w:ascii="Arial" w:eastAsia="Arial" w:hAnsi="Arial" w:cs="Arial"/>
          <w:b/>
          <w:color w:val="000000"/>
          <w:vertAlign w:val="superscript"/>
        </w:rPr>
        <w:t>1</w:t>
      </w:r>
      <w:r w:rsidR="00034083"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  <w:color w:val="000000"/>
        </w:rPr>
        <w:t>João Victor de Almeida Carvalho</w:t>
      </w:r>
      <w:r w:rsidR="00034083">
        <w:rPr>
          <w:rFonts w:ascii="Arial" w:eastAsia="Arial" w:hAnsi="Arial" w:cs="Arial"/>
          <w:b/>
          <w:color w:val="000000"/>
          <w:vertAlign w:val="superscript"/>
        </w:rPr>
        <w:t>1</w:t>
      </w:r>
      <w:r w:rsidR="00551159">
        <w:rPr>
          <w:rFonts w:ascii="Arial" w:eastAsia="Arial" w:hAnsi="Arial" w:cs="Arial"/>
          <w:b/>
          <w:color w:val="000000"/>
        </w:rPr>
        <w:t>,</w:t>
      </w:r>
      <w:r w:rsidR="00034083">
        <w:rPr>
          <w:rFonts w:ascii="Arial" w:eastAsia="Arial" w:hAnsi="Arial" w:cs="Arial"/>
          <w:b/>
          <w:color w:val="000000"/>
        </w:rPr>
        <w:t xml:space="preserve"> </w:t>
      </w:r>
      <w:r w:rsidR="00067241">
        <w:rPr>
          <w:rFonts w:ascii="Arial" w:eastAsia="Arial" w:hAnsi="Arial" w:cs="Arial"/>
          <w:b/>
          <w:color w:val="000000"/>
        </w:rPr>
        <w:t>Larissa</w:t>
      </w:r>
      <w:r w:rsidR="00802008">
        <w:rPr>
          <w:rFonts w:ascii="Arial" w:eastAsia="Arial" w:hAnsi="Arial" w:cs="Arial"/>
          <w:b/>
          <w:color w:val="000000"/>
        </w:rPr>
        <w:t xml:space="preserve"> Chyara Macclawd Vieira</w:t>
      </w:r>
      <w:r w:rsidR="00802008">
        <w:rPr>
          <w:rFonts w:ascii="Arial" w:eastAsia="Arial" w:hAnsi="Arial" w:cs="Arial"/>
          <w:b/>
          <w:color w:val="000000"/>
          <w:vertAlign w:val="superscript"/>
        </w:rPr>
        <w:t>1</w:t>
      </w:r>
      <w:r w:rsidR="00802008">
        <w:rPr>
          <w:rFonts w:ascii="Arial" w:eastAsia="Arial" w:hAnsi="Arial" w:cs="Arial"/>
          <w:b/>
          <w:color w:val="000000"/>
        </w:rPr>
        <w:t>,</w:t>
      </w:r>
      <w:r w:rsidR="00067241">
        <w:rPr>
          <w:rFonts w:ascii="Arial" w:eastAsia="Arial" w:hAnsi="Arial" w:cs="Arial"/>
          <w:b/>
          <w:color w:val="000000"/>
        </w:rPr>
        <w:t xml:space="preserve"> </w:t>
      </w:r>
      <w:r w:rsidR="00BB7A25">
        <w:rPr>
          <w:rFonts w:ascii="Arial" w:eastAsia="Arial" w:hAnsi="Arial" w:cs="Arial"/>
          <w:b/>
          <w:color w:val="000000"/>
        </w:rPr>
        <w:t>Breno Mourão de Sousa</w:t>
      </w:r>
      <w:r w:rsidR="00034083">
        <w:rPr>
          <w:rFonts w:ascii="Arial" w:eastAsia="Arial" w:hAnsi="Arial" w:cs="Arial"/>
          <w:b/>
          <w:color w:val="000000"/>
          <w:vertAlign w:val="superscript"/>
        </w:rPr>
        <w:t>2</w:t>
      </w:r>
      <w:r w:rsidR="00551159">
        <w:rPr>
          <w:rFonts w:ascii="Arial" w:eastAsia="Arial" w:hAnsi="Arial" w:cs="Arial"/>
          <w:b/>
          <w:color w:val="000000"/>
        </w:rPr>
        <w:t xml:space="preserve"> e </w:t>
      </w:r>
      <w:r w:rsidR="00551159" w:rsidRPr="00BC1540">
        <w:rPr>
          <w:rFonts w:ascii="Arial" w:eastAsia="Arial" w:hAnsi="Arial" w:cs="Arial"/>
          <w:b/>
        </w:rPr>
        <w:t>Gustavo Henrique Ferreira Abreu Moreira</w:t>
      </w:r>
      <w:r w:rsidR="00551159">
        <w:rPr>
          <w:rFonts w:ascii="Arial" w:eastAsia="Arial" w:hAnsi="Arial" w:cs="Arial"/>
          <w:b/>
          <w:vertAlign w:val="superscript"/>
        </w:rPr>
        <w:t>2</w:t>
      </w:r>
      <w:r w:rsidR="00034083">
        <w:rPr>
          <w:rFonts w:ascii="Arial" w:eastAsia="Arial" w:hAnsi="Arial" w:cs="Arial"/>
          <w:b/>
          <w:color w:val="000000"/>
        </w:rPr>
        <w:t>.</w:t>
      </w:r>
    </w:p>
    <w:p w:rsidR="005B3E8A" w:rsidRDefault="000340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UniBH – Belo Horizonte/MG – Brasil – *Contato: </w:t>
      </w:r>
      <w:r w:rsidR="00BB7A25">
        <w:rPr>
          <w:rFonts w:ascii="Arial" w:eastAsia="Arial" w:hAnsi="Arial" w:cs="Arial"/>
          <w:i/>
          <w:color w:val="000000"/>
          <w:sz w:val="14"/>
          <w:szCs w:val="14"/>
        </w:rPr>
        <w:t>reginaldo</w:t>
      </w:r>
      <w:r>
        <w:rPr>
          <w:rFonts w:ascii="Arial" w:eastAsia="Arial" w:hAnsi="Arial" w:cs="Arial"/>
          <w:i/>
          <w:color w:val="000000"/>
          <w:sz w:val="14"/>
          <w:szCs w:val="14"/>
        </w:rPr>
        <w:t>@</w:t>
      </w:r>
      <w:r w:rsidR="00BB7A25">
        <w:rPr>
          <w:rFonts w:ascii="Arial" w:eastAsia="Arial" w:hAnsi="Arial" w:cs="Arial"/>
          <w:i/>
          <w:color w:val="000000"/>
          <w:sz w:val="14"/>
          <w:szCs w:val="14"/>
        </w:rPr>
        <w:t>targetconstrutora</w:t>
      </w:r>
      <w:r>
        <w:rPr>
          <w:rFonts w:ascii="Arial" w:eastAsia="Arial" w:hAnsi="Arial" w:cs="Arial"/>
          <w:i/>
          <w:color w:val="000000"/>
          <w:sz w:val="14"/>
          <w:szCs w:val="14"/>
        </w:rPr>
        <w:t>.com</w:t>
      </w:r>
      <w:r w:rsidR="00BB7A25">
        <w:rPr>
          <w:rFonts w:ascii="Arial" w:eastAsia="Arial" w:hAnsi="Arial" w:cs="Arial"/>
          <w:i/>
          <w:color w:val="000000"/>
          <w:sz w:val="14"/>
          <w:szCs w:val="14"/>
        </w:rPr>
        <w:t>.br</w:t>
      </w:r>
    </w:p>
    <w:p w:rsidR="005B3E8A" w:rsidRDefault="00034083" w:rsidP="00BB7A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Professor </w:t>
      </w:r>
      <w:r w:rsidR="00BB7A25">
        <w:rPr>
          <w:rFonts w:ascii="Arial" w:eastAsia="Arial" w:hAnsi="Arial" w:cs="Arial"/>
          <w:i/>
          <w:color w:val="000000"/>
          <w:sz w:val="14"/>
          <w:szCs w:val="14"/>
        </w:rPr>
        <w:t xml:space="preserve">do Departamento </w:t>
      </w:r>
      <w:r>
        <w:rPr>
          <w:rFonts w:ascii="Arial" w:eastAsia="Arial" w:hAnsi="Arial" w:cs="Arial"/>
          <w:i/>
          <w:color w:val="000000"/>
          <w:sz w:val="14"/>
          <w:szCs w:val="14"/>
        </w:rPr>
        <w:t>de Medicina Veterinária – UniBH – Belo Horizonte/MG – Brasil</w:t>
      </w:r>
    </w:p>
    <w:p w:rsidR="005B3E8A" w:rsidRDefault="005B3E8A" w:rsidP="006E248B">
      <w:pPr>
        <w:pBdr>
          <w:top w:val="nil"/>
          <w:left w:val="nil"/>
          <w:bottom w:val="nil"/>
          <w:right w:val="nil"/>
          <w:between w:val="nil"/>
        </w:pBdr>
        <w:spacing w:afterLines="40"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  <w:bookmarkStart w:id="1" w:name="_heading=h.gjdgxs" w:colFirst="0" w:colLast="0"/>
      <w:bookmarkEnd w:id="1"/>
    </w:p>
    <w:p w:rsidR="005B3E8A" w:rsidRDefault="005B3E8A" w:rsidP="006E248B">
      <w:pPr>
        <w:spacing w:afterLines="40" w:after="96"/>
        <w:rPr>
          <w:rFonts w:ascii="Arial" w:eastAsia="Arial" w:hAnsi="Arial" w:cs="Arial"/>
        </w:rPr>
        <w:sectPr w:rsidR="005B3E8A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:rsidR="005B3E8A" w:rsidRDefault="00034083" w:rsidP="006E24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FF78CB" w:rsidRDefault="00FF78CB" w:rsidP="006E248B">
      <w:pPr>
        <w:spacing w:before="40" w:afterLines="40" w:after="96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Atualmente o </w:t>
      </w:r>
      <w:r w:rsidR="002051EC">
        <w:rPr>
          <w:rFonts w:ascii="Arial" w:hAnsi="Arial" w:cs="Arial"/>
          <w:sz w:val="18"/>
          <w:szCs w:val="18"/>
        </w:rPr>
        <w:t>acelerado</w:t>
      </w:r>
      <w:r>
        <w:rPr>
          <w:rFonts w:ascii="Arial" w:hAnsi="Arial" w:cs="Arial"/>
          <w:sz w:val="18"/>
          <w:szCs w:val="18"/>
        </w:rPr>
        <w:t xml:space="preserve"> crescimento populacional</w:t>
      </w:r>
      <w:r w:rsidR="002051EC">
        <w:rPr>
          <w:rFonts w:ascii="Arial" w:hAnsi="Arial" w:cs="Arial"/>
          <w:sz w:val="18"/>
          <w:szCs w:val="18"/>
        </w:rPr>
        <w:t xml:space="preserve"> mundial</w:t>
      </w:r>
      <w:r>
        <w:rPr>
          <w:rFonts w:ascii="Arial" w:hAnsi="Arial" w:cs="Arial"/>
          <w:sz w:val="18"/>
          <w:szCs w:val="18"/>
        </w:rPr>
        <w:t xml:space="preserve"> está demandando </w:t>
      </w:r>
      <w:r w:rsidR="00E06E52">
        <w:rPr>
          <w:rFonts w:ascii="Arial" w:hAnsi="Arial" w:cs="Arial"/>
          <w:sz w:val="18"/>
          <w:szCs w:val="18"/>
        </w:rPr>
        <w:t>aumento no</w:t>
      </w:r>
      <w:r>
        <w:rPr>
          <w:rFonts w:ascii="Arial" w:hAnsi="Arial" w:cs="Arial"/>
          <w:sz w:val="18"/>
          <w:szCs w:val="18"/>
        </w:rPr>
        <w:t xml:space="preserve"> consumo de alimentos, principalmente os de origem animal</w:t>
      </w:r>
      <w:r w:rsidR="002051EC">
        <w:rPr>
          <w:rFonts w:ascii="Arial" w:hAnsi="Arial" w:cs="Arial"/>
          <w:sz w:val="18"/>
          <w:szCs w:val="18"/>
        </w:rPr>
        <w:t>. Sendo assim</w:t>
      </w:r>
      <w:r w:rsidR="00172626">
        <w:rPr>
          <w:rFonts w:ascii="Arial" w:hAnsi="Arial" w:cs="Arial"/>
          <w:sz w:val="18"/>
          <w:szCs w:val="18"/>
        </w:rPr>
        <w:t>,</w:t>
      </w:r>
      <w:r w:rsidR="002051EC">
        <w:rPr>
          <w:rFonts w:ascii="Arial" w:hAnsi="Arial" w:cs="Arial"/>
          <w:sz w:val="18"/>
          <w:szCs w:val="18"/>
        </w:rPr>
        <w:t xml:space="preserve"> o Brasil, que tem o maior rebanho comercial do mundo</w:t>
      </w:r>
      <w:r w:rsidR="00172626">
        <w:rPr>
          <w:rFonts w:ascii="Arial" w:hAnsi="Arial" w:cs="Arial"/>
          <w:sz w:val="18"/>
          <w:szCs w:val="18"/>
        </w:rPr>
        <w:t>,</w:t>
      </w:r>
      <w:r w:rsidR="002051EC">
        <w:rPr>
          <w:rFonts w:ascii="Arial" w:hAnsi="Arial" w:cs="Arial"/>
          <w:sz w:val="18"/>
          <w:szCs w:val="18"/>
        </w:rPr>
        <w:t xml:space="preserve"> com aproximadamente 220 milhões de cabeças, apresenta relevância neste contexto.</w:t>
      </w:r>
      <w:r w:rsidR="00172626">
        <w:rPr>
          <w:rFonts w:ascii="Arial" w:hAnsi="Arial" w:cs="Arial"/>
          <w:sz w:val="18"/>
          <w:szCs w:val="18"/>
          <w:vertAlign w:val="superscript"/>
        </w:rPr>
        <w:t>1</w:t>
      </w:r>
    </w:p>
    <w:p w:rsidR="00172626" w:rsidRDefault="00172626" w:rsidP="006E248B">
      <w:pPr>
        <w:spacing w:before="40" w:afterLines="40" w:after="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Segundo Baruselli et Al. (2019), </w:t>
      </w:r>
      <w:r w:rsidRPr="00172626">
        <w:rPr>
          <w:rFonts w:ascii="Arial" w:hAnsi="Arial" w:cs="Arial"/>
          <w:sz w:val="18"/>
          <w:szCs w:val="18"/>
        </w:rPr>
        <w:t>a pecuária de corte brasileira ainda apresenta baixa eficiência produtiva</w:t>
      </w:r>
      <w:r w:rsidR="00E06E52">
        <w:rPr>
          <w:rFonts w:ascii="Arial" w:hAnsi="Arial" w:cs="Arial"/>
          <w:sz w:val="18"/>
          <w:szCs w:val="18"/>
        </w:rPr>
        <w:t>, mas</w:t>
      </w:r>
      <w:r w:rsidRPr="00172626">
        <w:rPr>
          <w:rFonts w:ascii="Arial" w:hAnsi="Arial" w:cs="Arial"/>
          <w:sz w:val="18"/>
          <w:szCs w:val="18"/>
        </w:rPr>
        <w:t xml:space="preserve"> ocupa o segundo lugar no ranking mundial de produção de carne, liderado pelos Estados Unidos</w:t>
      </w:r>
      <w:r>
        <w:rPr>
          <w:rFonts w:ascii="Arial" w:hAnsi="Arial" w:cs="Arial"/>
          <w:sz w:val="18"/>
          <w:szCs w:val="18"/>
        </w:rPr>
        <w:t>.</w:t>
      </w:r>
    </w:p>
    <w:p w:rsidR="00F67EF0" w:rsidRDefault="00172626" w:rsidP="006E248B">
      <w:pPr>
        <w:spacing w:before="40" w:afterLines="40" w:after="96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Os sérios prejuízos </w:t>
      </w:r>
      <w:r w:rsidR="00E06E52">
        <w:rPr>
          <w:rFonts w:ascii="Arial" w:hAnsi="Arial" w:cs="Arial"/>
          <w:sz w:val="18"/>
          <w:szCs w:val="18"/>
        </w:rPr>
        <w:t>ocorridos na</w:t>
      </w:r>
      <w:r>
        <w:rPr>
          <w:rFonts w:ascii="Arial" w:hAnsi="Arial" w:cs="Arial"/>
          <w:sz w:val="18"/>
          <w:szCs w:val="18"/>
        </w:rPr>
        <w:t xml:space="preserve"> pecuária brasileira deve</w:t>
      </w:r>
      <w:r w:rsidR="00E06E52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-se à alta proporção de vacas em anestro, no início do período de estação de monta</w:t>
      </w:r>
      <w:r w:rsidR="00C228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C228E7">
        <w:rPr>
          <w:rFonts w:ascii="Arial" w:hAnsi="Arial" w:cs="Arial"/>
          <w:sz w:val="18"/>
          <w:szCs w:val="18"/>
        </w:rPr>
        <w:t>Fato comum em vacas</w:t>
      </w:r>
      <w:r w:rsidR="005B5F9A">
        <w:rPr>
          <w:rFonts w:ascii="Arial" w:hAnsi="Arial" w:cs="Arial"/>
          <w:sz w:val="18"/>
          <w:szCs w:val="18"/>
        </w:rPr>
        <w:t>,</w:t>
      </w:r>
      <w:r w:rsidR="00C228E7">
        <w:rPr>
          <w:rFonts w:ascii="Arial" w:hAnsi="Arial" w:cs="Arial"/>
          <w:sz w:val="18"/>
          <w:szCs w:val="18"/>
        </w:rPr>
        <w:t xml:space="preserve"> pois as mesmas têm maior exigência nutricional no período de menor produção de forragens, que é no terço final da gestação e no início do pós-parto</w:t>
      </w:r>
      <w:r w:rsidR="00CB6814">
        <w:rPr>
          <w:rFonts w:ascii="Arial" w:hAnsi="Arial" w:cs="Arial"/>
          <w:sz w:val="18"/>
          <w:szCs w:val="18"/>
        </w:rPr>
        <w:t>.</w:t>
      </w:r>
      <w:r w:rsidR="005B5F9A">
        <w:rPr>
          <w:rFonts w:ascii="Arial" w:hAnsi="Arial" w:cs="Arial"/>
          <w:sz w:val="18"/>
          <w:szCs w:val="18"/>
        </w:rPr>
        <w:t xml:space="preserve"> </w:t>
      </w:r>
      <w:r w:rsidR="00CB6814">
        <w:rPr>
          <w:rFonts w:ascii="Arial" w:hAnsi="Arial" w:cs="Arial"/>
          <w:sz w:val="18"/>
          <w:szCs w:val="18"/>
        </w:rPr>
        <w:t>Desta forma, torna-se um grande desafio uma nova gestação nos primeiros</w:t>
      </w:r>
      <w:r w:rsidR="00C228E7">
        <w:rPr>
          <w:rFonts w:ascii="Arial" w:hAnsi="Arial" w:cs="Arial"/>
          <w:sz w:val="18"/>
          <w:szCs w:val="18"/>
        </w:rPr>
        <w:t xml:space="preserve"> 75 dias pós</w:t>
      </w:r>
      <w:r w:rsidR="00CB6814">
        <w:rPr>
          <w:rFonts w:ascii="Arial" w:hAnsi="Arial" w:cs="Arial"/>
          <w:sz w:val="18"/>
          <w:szCs w:val="18"/>
        </w:rPr>
        <w:t>-parto, inviabilizando um intervalo de parto ideal de 12 meses.</w:t>
      </w:r>
      <w:r w:rsidR="00E06E52" w:rsidRPr="00E06E52">
        <w:rPr>
          <w:rFonts w:ascii="Arial" w:hAnsi="Arial" w:cs="Arial"/>
          <w:sz w:val="18"/>
          <w:szCs w:val="18"/>
        </w:rPr>
        <w:t xml:space="preserve"> </w:t>
      </w:r>
      <w:r w:rsidR="00E06E52">
        <w:rPr>
          <w:rFonts w:ascii="Arial" w:hAnsi="Arial" w:cs="Arial"/>
          <w:sz w:val="18"/>
          <w:szCs w:val="18"/>
        </w:rPr>
        <w:t>Nestas fases do ciclo de produção, utiliza-se o escore de condição corporal (ECC), para mensurar as reservas energéticas das vacas.</w:t>
      </w:r>
      <w:r w:rsidR="00E06E52">
        <w:rPr>
          <w:rFonts w:ascii="Arial" w:hAnsi="Arial" w:cs="Arial"/>
          <w:sz w:val="18"/>
          <w:szCs w:val="18"/>
          <w:vertAlign w:val="superscript"/>
        </w:rPr>
        <w:t>5</w:t>
      </w:r>
    </w:p>
    <w:p w:rsidR="006B00AC" w:rsidRPr="006B00AC" w:rsidRDefault="006B00AC" w:rsidP="00F67EF0">
      <w:pPr>
        <w:spacing w:before="40" w:afterLines="40" w:after="96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Uma biotécnica que permite o controle e o acompanhamento eficiente da sincronização do estro e da ovulação de fêmeas, sem observação do cio, </w:t>
      </w:r>
      <w:r w:rsidR="00A1128A">
        <w:rPr>
          <w:rFonts w:ascii="Arial" w:hAnsi="Arial" w:cs="Arial"/>
          <w:sz w:val="18"/>
          <w:szCs w:val="18"/>
        </w:rPr>
        <w:t xml:space="preserve">concentrando a inseminação e a parição em épocas desejáveis, </w:t>
      </w:r>
      <w:r>
        <w:rPr>
          <w:rFonts w:ascii="Arial" w:hAnsi="Arial" w:cs="Arial"/>
          <w:sz w:val="18"/>
          <w:szCs w:val="18"/>
        </w:rPr>
        <w:t>é a inseminação artificial em tempo fixo (IATF).</w:t>
      </w:r>
      <w:r w:rsidR="00AF72F3">
        <w:rPr>
          <w:rFonts w:ascii="Arial" w:hAnsi="Arial" w:cs="Arial"/>
          <w:sz w:val="18"/>
          <w:szCs w:val="18"/>
          <w:vertAlign w:val="superscript"/>
        </w:rPr>
        <w:t>4,6</w:t>
      </w:r>
    </w:p>
    <w:p w:rsidR="006B00AC" w:rsidRDefault="006B00AC" w:rsidP="006B00AC">
      <w:pPr>
        <w:spacing w:before="40" w:after="40"/>
        <w:jc w:val="both"/>
        <w:rPr>
          <w:rFonts w:ascii="Arial" w:hAnsi="Arial" w:cs="Arial"/>
          <w:sz w:val="18"/>
          <w:bdr w:val="none" w:sz="0" w:space="0" w:color="auto" w:frame="1"/>
        </w:rPr>
      </w:pPr>
      <w:r>
        <w:rPr>
          <w:rFonts w:ascii="Arial" w:hAnsi="Arial" w:cs="Arial"/>
          <w:sz w:val="18"/>
          <w:bdr w:val="none" w:sz="0" w:space="0" w:color="auto" w:frame="1"/>
        </w:rPr>
        <w:t>O objetivo desse trabalho é disc</w:t>
      </w:r>
      <w:r w:rsidR="00CA2C63">
        <w:rPr>
          <w:rFonts w:ascii="Arial" w:hAnsi="Arial" w:cs="Arial"/>
          <w:sz w:val="18"/>
          <w:bdr w:val="none" w:sz="0" w:space="0" w:color="auto" w:frame="1"/>
        </w:rPr>
        <w:t xml:space="preserve">utir o fator </w:t>
      </w:r>
      <w:r w:rsidR="008F3750">
        <w:rPr>
          <w:rFonts w:ascii="Arial" w:hAnsi="Arial" w:cs="Arial"/>
          <w:sz w:val="18"/>
          <w:bdr w:val="none" w:sz="0" w:space="0" w:color="auto" w:frame="1"/>
        </w:rPr>
        <w:t>ECC</w:t>
      </w:r>
      <w:r w:rsidR="00CA2C63">
        <w:rPr>
          <w:rFonts w:ascii="Arial" w:hAnsi="Arial" w:cs="Arial"/>
          <w:sz w:val="18"/>
          <w:bdr w:val="none" w:sz="0" w:space="0" w:color="auto" w:frame="1"/>
        </w:rPr>
        <w:t xml:space="preserve"> </w:t>
      </w:r>
      <w:r w:rsidR="008F3750">
        <w:rPr>
          <w:rFonts w:ascii="Arial" w:hAnsi="Arial" w:cs="Arial"/>
          <w:sz w:val="18"/>
          <w:bdr w:val="none" w:sz="0" w:space="0" w:color="auto" w:frame="1"/>
        </w:rPr>
        <w:t>em</w:t>
      </w:r>
      <w:r w:rsidR="00CA2C63">
        <w:rPr>
          <w:rFonts w:ascii="Arial" w:hAnsi="Arial" w:cs="Arial"/>
          <w:sz w:val="18"/>
          <w:bdr w:val="none" w:sz="0" w:space="0" w:color="auto" w:frame="1"/>
        </w:rPr>
        <w:t xml:space="preserve"> novilhas e vacas, como </w:t>
      </w:r>
      <w:r w:rsidR="008F3750">
        <w:rPr>
          <w:rFonts w:ascii="Arial" w:hAnsi="Arial" w:cs="Arial"/>
          <w:sz w:val="18"/>
          <w:bdr w:val="none" w:sz="0" w:space="0" w:color="auto" w:frame="1"/>
        </w:rPr>
        <w:t>importante</w:t>
      </w:r>
      <w:r w:rsidR="001B0151">
        <w:rPr>
          <w:rFonts w:ascii="Arial" w:hAnsi="Arial" w:cs="Arial"/>
          <w:sz w:val="18"/>
          <w:bdr w:val="none" w:sz="0" w:space="0" w:color="auto" w:frame="1"/>
        </w:rPr>
        <w:t xml:space="preserve"> desafio</w:t>
      </w:r>
      <w:r w:rsidR="00CA2C63">
        <w:rPr>
          <w:rFonts w:ascii="Arial" w:hAnsi="Arial" w:cs="Arial"/>
          <w:sz w:val="18"/>
          <w:bdr w:val="none" w:sz="0" w:space="0" w:color="auto" w:frame="1"/>
        </w:rPr>
        <w:t xml:space="preserve"> na implantação e na</w:t>
      </w:r>
      <w:r w:rsidR="001C5175">
        <w:rPr>
          <w:rFonts w:ascii="Arial" w:hAnsi="Arial" w:cs="Arial"/>
          <w:sz w:val="18"/>
          <w:bdr w:val="none" w:sz="0" w:space="0" w:color="auto" w:frame="1"/>
        </w:rPr>
        <w:t xml:space="preserve"> eficiência da IATF em bovinos.</w:t>
      </w:r>
    </w:p>
    <w:p w:rsidR="0005795D" w:rsidRDefault="0005795D" w:rsidP="006E248B">
      <w:pPr>
        <w:spacing w:before="40" w:afterLines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05795D" w:rsidRDefault="0005795D" w:rsidP="006E248B">
      <w:pPr>
        <w:pStyle w:val="NormalWeb"/>
        <w:pBdr>
          <w:bottom w:val="single" w:sz="4" w:space="1" w:color="000000"/>
        </w:pBdr>
        <w:spacing w:before="0" w:beforeAutospacing="0" w:afterLines="40" w:after="96" w:afterAutospacing="0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</w:rPr>
        <w:t>MATERIAL E MÉTODOS</w:t>
      </w:r>
    </w:p>
    <w:p w:rsidR="00CA2C63" w:rsidRPr="000F1399" w:rsidRDefault="00CA2C63" w:rsidP="006A3E26">
      <w:pPr>
        <w:pStyle w:val="NormalWeb"/>
        <w:spacing w:before="0" w:beforeAutospacing="0" w:afterLines="40" w:after="96" w:afterAutospacing="0"/>
        <w:jc w:val="both"/>
        <w:rPr>
          <w:rFonts w:ascii="Arial" w:eastAsia="Arial" w:hAnsi="Arial" w:cs="Arial"/>
          <w:sz w:val="18"/>
          <w:szCs w:val="18"/>
        </w:rPr>
      </w:pPr>
      <w:r w:rsidRPr="000F1399">
        <w:rPr>
          <w:rFonts w:ascii="Arial" w:hAnsi="Arial" w:cs="Arial"/>
          <w:sz w:val="18"/>
          <w:szCs w:val="18"/>
        </w:rPr>
        <w:t xml:space="preserve">A revisão foi desenvolvida </w:t>
      </w:r>
      <w:r w:rsidR="001B01C6" w:rsidRPr="000F1399">
        <w:rPr>
          <w:rFonts w:ascii="Arial" w:hAnsi="Arial" w:cs="Arial"/>
          <w:sz w:val="18"/>
          <w:szCs w:val="18"/>
        </w:rPr>
        <w:t>a partir d</w:t>
      </w:r>
      <w:r w:rsidR="00A43629" w:rsidRPr="000F1399">
        <w:rPr>
          <w:rFonts w:ascii="Arial" w:hAnsi="Arial" w:cs="Arial"/>
          <w:sz w:val="18"/>
          <w:szCs w:val="18"/>
        </w:rPr>
        <w:t xml:space="preserve">o estudo de </w:t>
      </w:r>
      <w:r w:rsidR="001B01C6" w:rsidRPr="000F1399">
        <w:rPr>
          <w:rFonts w:ascii="Arial" w:hAnsi="Arial" w:cs="Arial"/>
          <w:sz w:val="18"/>
          <w:szCs w:val="18"/>
        </w:rPr>
        <w:t xml:space="preserve">artigos científicos, </w:t>
      </w:r>
      <w:r w:rsidR="00A43629" w:rsidRPr="000F1399">
        <w:rPr>
          <w:rFonts w:ascii="Arial" w:hAnsi="Arial" w:cs="Arial"/>
          <w:sz w:val="18"/>
          <w:szCs w:val="18"/>
        </w:rPr>
        <w:t>livro</w:t>
      </w:r>
      <w:r w:rsidR="001B01C6" w:rsidRPr="000F1399">
        <w:rPr>
          <w:rFonts w:ascii="Arial" w:hAnsi="Arial" w:cs="Arial"/>
          <w:sz w:val="18"/>
          <w:szCs w:val="18"/>
        </w:rPr>
        <w:t>s</w:t>
      </w:r>
      <w:r w:rsidR="006A3E26" w:rsidRPr="000F1399">
        <w:rPr>
          <w:rFonts w:ascii="Arial" w:hAnsi="Arial" w:cs="Arial"/>
          <w:sz w:val="18"/>
          <w:szCs w:val="18"/>
        </w:rPr>
        <w:t xml:space="preserve"> e trabalhos técnicos, </w:t>
      </w:r>
      <w:r w:rsidR="001B01C6" w:rsidRPr="000F1399">
        <w:rPr>
          <w:rFonts w:ascii="Arial" w:hAnsi="Arial" w:cs="Arial"/>
          <w:sz w:val="18"/>
          <w:szCs w:val="18"/>
        </w:rPr>
        <w:t xml:space="preserve">que foram </w:t>
      </w:r>
      <w:r w:rsidR="009C2CC2" w:rsidRPr="000F1399">
        <w:rPr>
          <w:rFonts w:ascii="Arial" w:hAnsi="Arial" w:cs="Arial"/>
          <w:sz w:val="18"/>
          <w:szCs w:val="18"/>
        </w:rPr>
        <w:t xml:space="preserve">pesquisados no google acadêmico </w:t>
      </w:r>
      <w:r w:rsidR="00A43629" w:rsidRPr="000F1399">
        <w:rPr>
          <w:rFonts w:ascii="Arial" w:hAnsi="Arial" w:cs="Arial"/>
          <w:sz w:val="18"/>
          <w:szCs w:val="18"/>
        </w:rPr>
        <w:t>e</w:t>
      </w:r>
      <w:r w:rsidR="006A3E26" w:rsidRPr="000F1399">
        <w:rPr>
          <w:rFonts w:ascii="Arial" w:hAnsi="Arial" w:cs="Arial"/>
          <w:sz w:val="18"/>
          <w:szCs w:val="18"/>
        </w:rPr>
        <w:t xml:space="preserve"> </w:t>
      </w:r>
      <w:r w:rsidR="001B01C6" w:rsidRPr="000F1399">
        <w:rPr>
          <w:rFonts w:ascii="Arial" w:hAnsi="Arial" w:cs="Arial"/>
          <w:sz w:val="18"/>
          <w:szCs w:val="18"/>
        </w:rPr>
        <w:t xml:space="preserve">em </w:t>
      </w:r>
      <w:r w:rsidR="006A3E26" w:rsidRPr="000F1399">
        <w:rPr>
          <w:rFonts w:ascii="Arial" w:hAnsi="Arial" w:cs="Arial"/>
          <w:sz w:val="18"/>
          <w:szCs w:val="18"/>
        </w:rPr>
        <w:t>sites especializados em bovinocultura, com ênfase em reprodução</w:t>
      </w:r>
      <w:r w:rsidR="001B01C6" w:rsidRPr="000F1399">
        <w:rPr>
          <w:rFonts w:ascii="Arial" w:hAnsi="Arial" w:cs="Arial"/>
          <w:sz w:val="18"/>
          <w:szCs w:val="18"/>
        </w:rPr>
        <w:t>. O período dos materiais pesquisados está compreendido entre os anos de 2008 e 2019</w:t>
      </w:r>
      <w:r w:rsidR="006A3E26" w:rsidRPr="000F1399">
        <w:rPr>
          <w:rFonts w:ascii="Arial" w:hAnsi="Arial" w:cs="Arial"/>
          <w:sz w:val="18"/>
          <w:szCs w:val="18"/>
        </w:rPr>
        <w:t xml:space="preserve">. </w:t>
      </w:r>
      <w:r w:rsidRPr="000F1399">
        <w:rPr>
          <w:rFonts w:ascii="Arial" w:eastAsia="Arial" w:hAnsi="Arial" w:cs="Arial"/>
          <w:sz w:val="18"/>
          <w:szCs w:val="18"/>
        </w:rPr>
        <w:t xml:space="preserve">Para isso, foram utilizadas as seguintes palavras-chave: </w:t>
      </w:r>
      <w:r w:rsidR="006A3E26" w:rsidRPr="000F1399">
        <w:rPr>
          <w:rFonts w:ascii="Arial" w:eastAsia="Arial" w:hAnsi="Arial" w:cs="Arial"/>
          <w:sz w:val="18"/>
          <w:szCs w:val="18"/>
        </w:rPr>
        <w:t xml:space="preserve">Bovinos, </w:t>
      </w:r>
      <w:r w:rsidR="00551159" w:rsidRPr="000F1399">
        <w:rPr>
          <w:rFonts w:ascii="Arial" w:eastAsia="Arial" w:hAnsi="Arial" w:cs="Arial"/>
          <w:sz w:val="18"/>
          <w:szCs w:val="18"/>
        </w:rPr>
        <w:t>ECC</w:t>
      </w:r>
      <w:r w:rsidR="006A3E26" w:rsidRPr="000F1399">
        <w:rPr>
          <w:rFonts w:ascii="Arial" w:eastAsia="Arial" w:hAnsi="Arial" w:cs="Arial"/>
          <w:sz w:val="18"/>
          <w:szCs w:val="18"/>
        </w:rPr>
        <w:t>, anestro, sincronização, inseminação</w:t>
      </w:r>
      <w:r w:rsidR="004F41B4" w:rsidRPr="000F1399">
        <w:rPr>
          <w:rFonts w:ascii="Arial" w:eastAsia="Arial" w:hAnsi="Arial" w:cs="Arial"/>
          <w:sz w:val="18"/>
          <w:szCs w:val="18"/>
        </w:rPr>
        <w:t>, IATF.</w:t>
      </w:r>
    </w:p>
    <w:p w:rsidR="005B3E8A" w:rsidRDefault="005B3E8A" w:rsidP="006E248B">
      <w:pPr>
        <w:pBdr>
          <w:top w:val="nil"/>
          <w:left w:val="nil"/>
          <w:bottom w:val="nil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5B3E8A" w:rsidRDefault="00551159" w:rsidP="006E24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REVISÃO DE LITERATURA</w:t>
      </w:r>
    </w:p>
    <w:p w:rsidR="004F101F" w:rsidRDefault="00B76259" w:rsidP="00D1408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Para Gonçalves </w:t>
      </w:r>
      <w:r w:rsidR="00371BF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t Al. (2008), a eficiência dos sistemas de produção de bovinos é dependente da taxa de </w:t>
      </w:r>
      <w:r w:rsidR="00371BFA">
        <w:rPr>
          <w:rFonts w:ascii="Arial" w:hAnsi="Arial" w:cs="Arial"/>
          <w:sz w:val="18"/>
          <w:szCs w:val="18"/>
        </w:rPr>
        <w:t>nascimentos e de desmames. Estudos indicam que o prazo máximo</w:t>
      </w:r>
      <w:r w:rsidR="00BD41CB">
        <w:rPr>
          <w:rFonts w:ascii="Arial" w:hAnsi="Arial" w:cs="Arial"/>
          <w:sz w:val="18"/>
          <w:szCs w:val="18"/>
        </w:rPr>
        <w:t>,</w:t>
      </w:r>
      <w:r w:rsidR="00371BFA">
        <w:rPr>
          <w:rFonts w:ascii="Arial" w:hAnsi="Arial" w:cs="Arial"/>
          <w:sz w:val="18"/>
          <w:szCs w:val="18"/>
        </w:rPr>
        <w:t xml:space="preserve"> economicamente</w:t>
      </w:r>
      <w:r w:rsidR="00A81477">
        <w:rPr>
          <w:rFonts w:ascii="Arial" w:hAnsi="Arial" w:cs="Arial"/>
          <w:sz w:val="18"/>
          <w:szCs w:val="18"/>
        </w:rPr>
        <w:t xml:space="preserve"> viável</w:t>
      </w:r>
      <w:r w:rsidR="00371BFA">
        <w:rPr>
          <w:rFonts w:ascii="Arial" w:hAnsi="Arial" w:cs="Arial"/>
          <w:sz w:val="18"/>
          <w:szCs w:val="18"/>
        </w:rPr>
        <w:t xml:space="preserve">, entre o parto e a </w:t>
      </w:r>
      <w:r w:rsidR="00BC4747">
        <w:rPr>
          <w:rFonts w:ascii="Arial" w:hAnsi="Arial" w:cs="Arial"/>
          <w:sz w:val="18"/>
          <w:szCs w:val="18"/>
        </w:rPr>
        <w:t xml:space="preserve">nova </w:t>
      </w:r>
      <w:r w:rsidR="00371BFA">
        <w:rPr>
          <w:rFonts w:ascii="Arial" w:hAnsi="Arial" w:cs="Arial"/>
          <w:sz w:val="18"/>
          <w:szCs w:val="18"/>
        </w:rPr>
        <w:t>concepção</w:t>
      </w:r>
      <w:r w:rsidR="00BD41CB">
        <w:rPr>
          <w:rFonts w:ascii="Arial" w:hAnsi="Arial" w:cs="Arial"/>
          <w:sz w:val="18"/>
          <w:szCs w:val="18"/>
        </w:rPr>
        <w:t>,</w:t>
      </w:r>
      <w:r w:rsidR="00371BFA">
        <w:rPr>
          <w:rFonts w:ascii="Arial" w:hAnsi="Arial" w:cs="Arial"/>
          <w:sz w:val="18"/>
          <w:szCs w:val="18"/>
        </w:rPr>
        <w:t xml:space="preserve"> seja de 100 dias. Para que isto seja possível</w:t>
      </w:r>
      <w:r w:rsidR="007F4A9F">
        <w:rPr>
          <w:rFonts w:ascii="Arial" w:hAnsi="Arial" w:cs="Arial"/>
          <w:sz w:val="18"/>
          <w:szCs w:val="18"/>
        </w:rPr>
        <w:t>,</w:t>
      </w:r>
      <w:r w:rsidR="00371BFA">
        <w:rPr>
          <w:rFonts w:ascii="Arial" w:hAnsi="Arial" w:cs="Arial"/>
          <w:sz w:val="18"/>
          <w:szCs w:val="18"/>
        </w:rPr>
        <w:t xml:space="preserve"> torna-se imprescindível </w:t>
      </w:r>
      <w:r w:rsidR="007F4A9F">
        <w:rPr>
          <w:rFonts w:ascii="Arial" w:hAnsi="Arial" w:cs="Arial"/>
          <w:sz w:val="18"/>
          <w:szCs w:val="18"/>
        </w:rPr>
        <w:t xml:space="preserve">a utilização de uma estação de monta não superior à 60 dias, </w:t>
      </w:r>
      <w:r w:rsidR="00BC4747">
        <w:rPr>
          <w:rFonts w:ascii="Arial" w:hAnsi="Arial" w:cs="Arial"/>
          <w:sz w:val="18"/>
          <w:szCs w:val="18"/>
        </w:rPr>
        <w:t xml:space="preserve">que por sua vez pode ser viabilizada através da sincronização de estros. </w:t>
      </w:r>
      <w:r w:rsidR="00985BAA">
        <w:rPr>
          <w:rFonts w:ascii="Arial" w:hAnsi="Arial" w:cs="Arial"/>
          <w:sz w:val="18"/>
          <w:szCs w:val="18"/>
        </w:rPr>
        <w:t xml:space="preserve">A importância </w:t>
      </w:r>
      <w:r w:rsidR="00BD41CB">
        <w:rPr>
          <w:rFonts w:ascii="Arial" w:hAnsi="Arial" w:cs="Arial"/>
          <w:sz w:val="18"/>
          <w:szCs w:val="18"/>
        </w:rPr>
        <w:t>desta sincronização deve-se à concentração dos partos nos momentos mais adequados do ano, em função dos forrageiros e das condições climáticas.</w:t>
      </w:r>
      <w:r w:rsidR="00AF72F3">
        <w:rPr>
          <w:rFonts w:ascii="Arial" w:hAnsi="Arial" w:cs="Arial"/>
          <w:sz w:val="18"/>
          <w:szCs w:val="18"/>
          <w:vertAlign w:val="superscript"/>
        </w:rPr>
        <w:t>4</w:t>
      </w:r>
    </w:p>
    <w:p w:rsidR="00C76530" w:rsidRDefault="00BF0E65" w:rsidP="00D1408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Neste contexto, foram desenvolvidos protocolos de sincronização</w:t>
      </w:r>
      <w:r w:rsidR="004F101F">
        <w:rPr>
          <w:rFonts w:ascii="Arial" w:hAnsi="Arial" w:cs="Arial"/>
          <w:sz w:val="18"/>
          <w:szCs w:val="18"/>
        </w:rPr>
        <w:t xml:space="preserve"> da ovulação de vacas cíclicas, assim como também a ressincronização de vacas em anestro, através da IATF, com o foco na melhoria das taxas serviço e </w:t>
      </w:r>
      <w:r w:rsidR="00C76530">
        <w:rPr>
          <w:rFonts w:ascii="Arial" w:hAnsi="Arial" w:cs="Arial"/>
          <w:sz w:val="18"/>
          <w:szCs w:val="18"/>
        </w:rPr>
        <w:t>na redução do intervalo entre inseminações.</w:t>
      </w:r>
      <w:r w:rsidR="00C76530">
        <w:rPr>
          <w:rFonts w:ascii="Arial" w:hAnsi="Arial" w:cs="Arial"/>
          <w:sz w:val="18"/>
          <w:szCs w:val="18"/>
          <w:vertAlign w:val="superscript"/>
        </w:rPr>
        <w:t>1</w:t>
      </w:r>
      <w:r w:rsidR="00C76530">
        <w:rPr>
          <w:rFonts w:ascii="Arial" w:hAnsi="Arial" w:cs="Arial"/>
          <w:sz w:val="18"/>
          <w:szCs w:val="18"/>
        </w:rPr>
        <w:t xml:space="preserve"> </w:t>
      </w:r>
    </w:p>
    <w:p w:rsidR="00BD41CB" w:rsidRDefault="00C76530" w:rsidP="00D1408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intuito de maximiza</w:t>
      </w:r>
      <w:r w:rsidR="008650D2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 os resultados da IATF, </w:t>
      </w:r>
      <w:r w:rsidR="008650D2">
        <w:rPr>
          <w:rFonts w:ascii="Arial" w:hAnsi="Arial" w:cs="Arial"/>
          <w:sz w:val="18"/>
          <w:szCs w:val="18"/>
        </w:rPr>
        <w:t>o planejamento nutricional torna-se muito importante, pois deve proporcionar um</w:t>
      </w:r>
      <w:r w:rsidR="008F0CFB">
        <w:rPr>
          <w:rFonts w:ascii="Arial" w:hAnsi="Arial" w:cs="Arial"/>
          <w:sz w:val="18"/>
          <w:szCs w:val="18"/>
        </w:rPr>
        <w:t xml:space="preserve"> ECC</w:t>
      </w:r>
      <w:r w:rsidR="008650D2">
        <w:rPr>
          <w:rFonts w:ascii="Arial" w:hAnsi="Arial" w:cs="Arial"/>
          <w:sz w:val="18"/>
          <w:szCs w:val="18"/>
        </w:rPr>
        <w:t xml:space="preserve"> ideal, no momento do início de um protocolo no D</w:t>
      </w:r>
      <w:r w:rsidR="001C5175">
        <w:rPr>
          <w:rFonts w:ascii="Arial" w:hAnsi="Arial" w:cs="Arial"/>
          <w:sz w:val="18"/>
          <w:szCs w:val="18"/>
        </w:rPr>
        <w:t>0</w:t>
      </w:r>
      <w:r w:rsidR="008650D2">
        <w:rPr>
          <w:rFonts w:ascii="Arial" w:hAnsi="Arial" w:cs="Arial"/>
          <w:sz w:val="18"/>
          <w:szCs w:val="18"/>
        </w:rPr>
        <w:t xml:space="preserve"> (dia zero).</w:t>
      </w:r>
      <w:r w:rsidR="008F0CFB">
        <w:rPr>
          <w:rFonts w:ascii="Arial" w:hAnsi="Arial" w:cs="Arial"/>
          <w:sz w:val="18"/>
          <w:szCs w:val="18"/>
        </w:rPr>
        <w:t xml:space="preserve"> </w:t>
      </w:r>
      <w:r w:rsidR="008F0CFB">
        <w:rPr>
          <w:rFonts w:ascii="Arial" w:hAnsi="Arial" w:cs="Arial"/>
          <w:sz w:val="18"/>
          <w:szCs w:val="18"/>
        </w:rPr>
        <w:lastRenderedPageBreak/>
        <w:t>Sendo a condição corporal uma medida subjetiva, que é baseada numa classificação visual em função da cobertura muscular e da massa de gordura</w:t>
      </w:r>
      <w:r w:rsidR="005A2D63">
        <w:rPr>
          <w:rFonts w:ascii="Arial" w:hAnsi="Arial" w:cs="Arial"/>
          <w:sz w:val="18"/>
          <w:szCs w:val="18"/>
        </w:rPr>
        <w:t xml:space="preserve"> (Fig. 1)</w:t>
      </w:r>
      <w:r w:rsidR="008F0CFB">
        <w:rPr>
          <w:rFonts w:ascii="Arial" w:hAnsi="Arial" w:cs="Arial"/>
          <w:sz w:val="18"/>
          <w:szCs w:val="18"/>
        </w:rPr>
        <w:t>, que reflete a reserva energética do animal.</w:t>
      </w:r>
      <w:r w:rsidR="00AF72F3">
        <w:rPr>
          <w:rFonts w:ascii="Arial" w:hAnsi="Arial" w:cs="Arial"/>
          <w:sz w:val="18"/>
          <w:szCs w:val="18"/>
          <w:vertAlign w:val="superscript"/>
        </w:rPr>
        <w:t>2,3</w:t>
      </w:r>
      <w:r w:rsidR="008F0CFB">
        <w:rPr>
          <w:rFonts w:ascii="Arial" w:hAnsi="Arial" w:cs="Arial"/>
          <w:sz w:val="18"/>
          <w:szCs w:val="18"/>
        </w:rPr>
        <w:t xml:space="preserve">  </w:t>
      </w:r>
    </w:p>
    <w:p w:rsidR="005A2D63" w:rsidRDefault="005A2D63" w:rsidP="00D1408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86"/>
      </w:tblGrid>
      <w:tr w:rsidR="005A2D63" w:rsidTr="00F00674">
        <w:trPr>
          <w:trHeight w:val="1728"/>
        </w:trPr>
        <w:tc>
          <w:tcPr>
            <w:tcW w:w="5158" w:type="dxa"/>
          </w:tcPr>
          <w:p w:rsidR="005A2D63" w:rsidRDefault="00D30812" w:rsidP="006915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3218513" cy="975995"/>
                  <wp:effectExtent l="0" t="0" r="1270" b="0"/>
                  <wp:docPr id="3" name="Imagem 3" descr="Como o escore corporal pode afetar a reprodução bov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o o escore corporal pode afetar a reprodução bov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444" cy="102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2D63" w:rsidRDefault="005A2D63" w:rsidP="005A2D63">
      <w:pPr>
        <w:spacing w:afterLines="40" w:after="96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Figura 1: </w:t>
      </w:r>
      <w:r>
        <w:rPr>
          <w:rFonts w:ascii="Arial" w:eastAsia="Arial" w:hAnsi="Arial" w:cs="Arial"/>
          <w:color w:val="000000"/>
          <w:sz w:val="18"/>
          <w:szCs w:val="18"/>
        </w:rPr>
        <w:t>Escores de condição corporal. (</w:t>
      </w:r>
      <w:r w:rsidR="00F00674">
        <w:rPr>
          <w:rFonts w:ascii="Arial" w:eastAsia="Arial" w:hAnsi="Arial" w:cs="Arial"/>
          <w:color w:val="000000"/>
          <w:sz w:val="18"/>
          <w:szCs w:val="18"/>
        </w:rPr>
        <w:t>Portal</w:t>
      </w:r>
      <w:r w:rsidR="00604A05">
        <w:rPr>
          <w:rFonts w:ascii="Arial" w:eastAsia="Arial" w:hAnsi="Arial" w:cs="Arial"/>
          <w:color w:val="000000"/>
          <w:sz w:val="18"/>
          <w:szCs w:val="18"/>
        </w:rPr>
        <w:t xml:space="preserve"> Milkpoint</w:t>
      </w:r>
      <w:r w:rsidR="006B15D9">
        <w:rPr>
          <w:rFonts w:ascii="Arial" w:eastAsia="Arial" w:hAnsi="Arial" w:cs="Arial"/>
          <w:color w:val="000000"/>
          <w:sz w:val="18"/>
          <w:szCs w:val="18"/>
        </w:rPr>
        <w:t>)</w:t>
      </w:r>
    </w:p>
    <w:p w:rsidR="00C76530" w:rsidRDefault="00C76530" w:rsidP="00D1408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0B5299" w:rsidRDefault="000B5299" w:rsidP="000B529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B5299">
        <w:rPr>
          <w:rFonts w:ascii="Arial" w:hAnsi="Arial" w:cs="Arial"/>
          <w:sz w:val="18"/>
          <w:szCs w:val="18"/>
        </w:rPr>
        <w:t>Recomenda-se que o manejo nutricional seja ajustado para que as fêmeas atinjam o ECC de 2,5 a 3,5 ao parto, pois a recuperação da condição corporal no pós-parto é mais difícil, devido a sobreposição desta fase à estação de monta</w:t>
      </w:r>
      <w:r w:rsidR="004E2FC5">
        <w:rPr>
          <w:rFonts w:ascii="Arial" w:hAnsi="Arial" w:cs="Arial"/>
          <w:sz w:val="18"/>
          <w:szCs w:val="18"/>
        </w:rPr>
        <w:t xml:space="preserve"> subsequente</w:t>
      </w:r>
      <w:r w:rsidRPr="000B529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Ferreira et Al. (</w:t>
      </w:r>
      <w:r w:rsidR="004E2FC5">
        <w:rPr>
          <w:rFonts w:ascii="Arial" w:hAnsi="Arial" w:cs="Arial"/>
          <w:sz w:val="18"/>
          <w:szCs w:val="18"/>
        </w:rPr>
        <w:t>2013) relatam, através dados de seus estudos, que as vacas com cria ao pé</w:t>
      </w:r>
      <w:r w:rsidR="004A6AB3">
        <w:rPr>
          <w:rFonts w:ascii="Arial" w:hAnsi="Arial" w:cs="Arial"/>
          <w:sz w:val="18"/>
          <w:szCs w:val="18"/>
        </w:rPr>
        <w:t xml:space="preserve"> com</w:t>
      </w:r>
      <w:r w:rsidR="004E2FC5">
        <w:rPr>
          <w:rFonts w:ascii="Arial" w:hAnsi="Arial" w:cs="Arial"/>
          <w:sz w:val="18"/>
          <w:szCs w:val="18"/>
        </w:rPr>
        <w:t xml:space="preserve"> ECC</w:t>
      </w:r>
      <w:r w:rsidR="004A6AB3">
        <w:rPr>
          <w:rFonts w:ascii="Arial" w:hAnsi="Arial" w:cs="Arial"/>
          <w:sz w:val="18"/>
          <w:szCs w:val="18"/>
        </w:rPr>
        <w:t xml:space="preserve"> </w:t>
      </w:r>
      <w:r w:rsidR="004E2FC5">
        <w:rPr>
          <w:rFonts w:ascii="Arial" w:hAnsi="Arial" w:cs="Arial"/>
          <w:sz w:val="18"/>
          <w:szCs w:val="18"/>
        </w:rPr>
        <w:t xml:space="preserve">2 obtiveram piores </w:t>
      </w:r>
      <w:r w:rsidR="004A6AB3">
        <w:rPr>
          <w:rFonts w:ascii="Arial" w:hAnsi="Arial" w:cs="Arial"/>
          <w:sz w:val="18"/>
          <w:szCs w:val="18"/>
        </w:rPr>
        <w:t xml:space="preserve">taxas de prenhez, e que as novilhas com </w:t>
      </w:r>
      <w:r w:rsidR="004E2FC5">
        <w:rPr>
          <w:rFonts w:ascii="Arial" w:hAnsi="Arial" w:cs="Arial"/>
          <w:sz w:val="18"/>
          <w:szCs w:val="18"/>
        </w:rPr>
        <w:t>ECC 3</w:t>
      </w:r>
      <w:r w:rsidR="004A6AB3">
        <w:rPr>
          <w:rFonts w:ascii="Arial" w:hAnsi="Arial" w:cs="Arial"/>
          <w:sz w:val="18"/>
          <w:szCs w:val="18"/>
        </w:rPr>
        <w:t xml:space="preserve"> apresentaram os melhores índices. Desta forma, sugerem ECC mínimo de 2,5 com ideal de 3, para bons resultados na IATF.</w:t>
      </w:r>
      <w:r w:rsidR="00AF72F3">
        <w:rPr>
          <w:rFonts w:ascii="Arial" w:hAnsi="Arial" w:cs="Arial"/>
          <w:sz w:val="18"/>
          <w:szCs w:val="18"/>
          <w:vertAlign w:val="superscript"/>
        </w:rPr>
        <w:t>2,3</w:t>
      </w:r>
      <w:r w:rsidR="004A6AB3">
        <w:rPr>
          <w:rFonts w:ascii="Arial" w:hAnsi="Arial" w:cs="Arial"/>
          <w:sz w:val="18"/>
          <w:szCs w:val="18"/>
        </w:rPr>
        <w:t xml:space="preserve"> </w:t>
      </w:r>
    </w:p>
    <w:p w:rsidR="000B5299" w:rsidRDefault="000B5299" w:rsidP="000B529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4A6AB3" w:rsidRPr="004A6AB3" w:rsidRDefault="004A6AB3" w:rsidP="00A2028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4A6AB3">
        <w:rPr>
          <w:rFonts w:ascii="Arial" w:hAnsi="Arial" w:cs="Arial"/>
          <w:b/>
          <w:bCs/>
          <w:sz w:val="18"/>
          <w:szCs w:val="18"/>
        </w:rPr>
        <w:t xml:space="preserve">Tabela 1. </w:t>
      </w:r>
      <w:r w:rsidRPr="004A6AB3">
        <w:rPr>
          <w:rFonts w:ascii="Arial" w:hAnsi="Arial" w:cs="Arial"/>
          <w:sz w:val="18"/>
          <w:szCs w:val="18"/>
        </w:rPr>
        <w:t>Taxa de prenhez de vacas lactantes da raça nelore submetidas a protocolo de IATF com repasse de touro</w:t>
      </w:r>
    </w:p>
    <w:p w:rsidR="004A6AB3" w:rsidRDefault="004A6AB3" w:rsidP="00A2028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4A6AB3">
        <w:rPr>
          <w:rFonts w:ascii="Arial" w:hAnsi="Arial" w:cs="Arial"/>
          <w:sz w:val="18"/>
          <w:szCs w:val="18"/>
        </w:rPr>
        <w:t xml:space="preserve">associada ao </w:t>
      </w:r>
      <w:r w:rsidR="00A2028B">
        <w:rPr>
          <w:rFonts w:ascii="Arial" w:hAnsi="Arial" w:cs="Arial"/>
          <w:sz w:val="18"/>
          <w:szCs w:val="18"/>
        </w:rPr>
        <w:t>ECC</w:t>
      </w:r>
      <w:r w:rsidRPr="004A6AB3">
        <w:rPr>
          <w:rFonts w:ascii="Arial" w:hAnsi="Arial" w:cs="Arial"/>
          <w:sz w:val="18"/>
          <w:szCs w:val="18"/>
        </w:rPr>
        <w:t>.</w:t>
      </w:r>
      <w:r w:rsidR="00A2028B">
        <w:rPr>
          <w:rFonts w:ascii="Arial" w:hAnsi="Arial" w:cs="Arial"/>
          <w:sz w:val="18"/>
          <w:szCs w:val="18"/>
        </w:rPr>
        <w:t xml:space="preserve"> (Ferreira et Al.,2013)</w:t>
      </w:r>
    </w:p>
    <w:p w:rsidR="00A2028B" w:rsidRDefault="00A2028B" w:rsidP="00A2028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Simples21"/>
        <w:tblW w:w="0" w:type="auto"/>
        <w:tblLook w:val="04A0" w:firstRow="1" w:lastRow="0" w:firstColumn="1" w:lastColumn="0" w:noHBand="0" w:noVBand="1"/>
      </w:tblPr>
      <w:tblGrid>
        <w:gridCol w:w="1289"/>
        <w:gridCol w:w="1289"/>
        <w:gridCol w:w="1290"/>
        <w:gridCol w:w="1290"/>
      </w:tblGrid>
      <w:tr w:rsidR="00A2028B" w:rsidTr="00A20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</w:tcPr>
          <w:p w:rsidR="00A2028B" w:rsidRPr="00A2028B" w:rsidRDefault="00A2028B" w:rsidP="00A202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28B">
              <w:rPr>
                <w:rFonts w:ascii="Arial" w:hAnsi="Arial" w:cs="Arial"/>
                <w:sz w:val="14"/>
                <w:szCs w:val="14"/>
              </w:rPr>
              <w:t>Ecc</w:t>
            </w:r>
          </w:p>
        </w:tc>
        <w:tc>
          <w:tcPr>
            <w:tcW w:w="1289" w:type="dxa"/>
          </w:tcPr>
          <w:p w:rsidR="00A2028B" w:rsidRPr="00A2028B" w:rsidRDefault="00A2028B" w:rsidP="00A2028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2028B">
              <w:rPr>
                <w:rFonts w:ascii="Arial" w:hAnsi="Arial" w:cs="Arial"/>
                <w:sz w:val="14"/>
                <w:szCs w:val="14"/>
              </w:rPr>
              <w:t>ECC ≥ 3 ≤ 4</w:t>
            </w:r>
          </w:p>
        </w:tc>
        <w:tc>
          <w:tcPr>
            <w:tcW w:w="1290" w:type="dxa"/>
          </w:tcPr>
          <w:p w:rsidR="00A2028B" w:rsidRPr="00A2028B" w:rsidRDefault="00A2028B" w:rsidP="00A2028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2028B">
              <w:rPr>
                <w:rFonts w:ascii="Arial" w:hAnsi="Arial" w:cs="Arial"/>
                <w:sz w:val="14"/>
                <w:szCs w:val="14"/>
              </w:rPr>
              <w:t>ECC ≥ 2,0 ≤ 2,5</w:t>
            </w:r>
          </w:p>
        </w:tc>
        <w:tc>
          <w:tcPr>
            <w:tcW w:w="1290" w:type="dxa"/>
          </w:tcPr>
          <w:p w:rsidR="00A2028B" w:rsidRPr="00A2028B" w:rsidRDefault="00A2028B" w:rsidP="00A2028B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2028B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A2028B" w:rsidTr="00A20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</w:tcPr>
          <w:p w:rsidR="00A2028B" w:rsidRPr="00A2028B" w:rsidRDefault="00A2028B" w:rsidP="00A202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28B">
              <w:rPr>
                <w:rFonts w:ascii="Arial" w:hAnsi="Arial" w:cs="Arial"/>
                <w:sz w:val="14"/>
                <w:szCs w:val="14"/>
              </w:rPr>
              <w:t xml:space="preserve">Tx.prenhez </w:t>
            </w:r>
            <w:r>
              <w:rPr>
                <w:rFonts w:ascii="Arial" w:hAnsi="Arial" w:cs="Arial"/>
                <w:sz w:val="14"/>
                <w:szCs w:val="14"/>
              </w:rPr>
              <w:t xml:space="preserve">(%) </w:t>
            </w:r>
            <w:r w:rsidRPr="00A2028B">
              <w:rPr>
                <w:rFonts w:ascii="Arial" w:hAnsi="Arial" w:cs="Arial"/>
                <w:sz w:val="14"/>
                <w:szCs w:val="14"/>
              </w:rPr>
              <w:t>(IATF+TOURO)</w:t>
            </w:r>
          </w:p>
        </w:tc>
        <w:tc>
          <w:tcPr>
            <w:tcW w:w="1289" w:type="dxa"/>
          </w:tcPr>
          <w:p w:rsidR="00066168" w:rsidRDefault="00A2028B" w:rsidP="00A2028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2028B">
              <w:rPr>
                <w:rFonts w:ascii="Arial" w:hAnsi="Arial" w:cs="Arial"/>
                <w:sz w:val="14"/>
                <w:szCs w:val="14"/>
              </w:rPr>
              <w:t>86,5</w:t>
            </w:r>
          </w:p>
          <w:p w:rsidR="00A2028B" w:rsidRPr="00A2028B" w:rsidRDefault="00A2028B" w:rsidP="00A2028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2028B">
              <w:rPr>
                <w:rFonts w:ascii="Arial" w:hAnsi="Arial" w:cs="Arial"/>
                <w:sz w:val="14"/>
                <w:szCs w:val="14"/>
              </w:rPr>
              <w:t>(83:96)</w:t>
            </w:r>
          </w:p>
        </w:tc>
        <w:tc>
          <w:tcPr>
            <w:tcW w:w="1290" w:type="dxa"/>
          </w:tcPr>
          <w:p w:rsidR="00066168" w:rsidRDefault="00A2028B" w:rsidP="00A2028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2028B">
              <w:rPr>
                <w:rFonts w:ascii="Arial" w:hAnsi="Arial" w:cs="Arial"/>
                <w:sz w:val="14"/>
                <w:szCs w:val="14"/>
              </w:rPr>
              <w:t>65,9</w:t>
            </w:r>
          </w:p>
          <w:p w:rsidR="00A2028B" w:rsidRPr="00A2028B" w:rsidRDefault="00A2028B" w:rsidP="00A2028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2028B">
              <w:rPr>
                <w:rFonts w:ascii="Arial" w:hAnsi="Arial" w:cs="Arial"/>
                <w:sz w:val="14"/>
                <w:szCs w:val="14"/>
              </w:rPr>
              <w:t>(56:85)</w:t>
            </w:r>
          </w:p>
        </w:tc>
        <w:tc>
          <w:tcPr>
            <w:tcW w:w="1290" w:type="dxa"/>
          </w:tcPr>
          <w:p w:rsidR="00066168" w:rsidRDefault="00A2028B" w:rsidP="0006616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2028B">
              <w:rPr>
                <w:rFonts w:ascii="Arial" w:hAnsi="Arial" w:cs="Arial"/>
                <w:sz w:val="14"/>
                <w:szCs w:val="14"/>
              </w:rPr>
              <w:t>76,</w:t>
            </w:r>
            <w:r w:rsidR="00066168">
              <w:rPr>
                <w:rFonts w:ascii="Arial" w:hAnsi="Arial" w:cs="Arial"/>
                <w:sz w:val="14"/>
                <w:szCs w:val="14"/>
              </w:rPr>
              <w:t>8</w:t>
            </w:r>
          </w:p>
          <w:p w:rsidR="00A2028B" w:rsidRPr="00A2028B" w:rsidRDefault="00A2028B" w:rsidP="0006616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2028B">
              <w:rPr>
                <w:rFonts w:ascii="Arial" w:hAnsi="Arial" w:cs="Arial"/>
                <w:sz w:val="14"/>
                <w:szCs w:val="14"/>
              </w:rPr>
              <w:t>(139:181)</w:t>
            </w:r>
          </w:p>
        </w:tc>
      </w:tr>
      <w:tr w:rsidR="00A2028B" w:rsidTr="00A202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" w:type="dxa"/>
          </w:tcPr>
          <w:p w:rsidR="00A2028B" w:rsidRPr="00A2028B" w:rsidRDefault="00A2028B" w:rsidP="00A202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2028B">
              <w:rPr>
                <w:rFonts w:ascii="Arial" w:hAnsi="Arial" w:cs="Arial"/>
                <w:sz w:val="14"/>
                <w:szCs w:val="14"/>
              </w:rPr>
              <w:t>No de animais</w:t>
            </w:r>
          </w:p>
        </w:tc>
        <w:tc>
          <w:tcPr>
            <w:tcW w:w="1289" w:type="dxa"/>
          </w:tcPr>
          <w:p w:rsidR="00A2028B" w:rsidRPr="00A2028B" w:rsidRDefault="00A2028B" w:rsidP="00A2028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2028B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1290" w:type="dxa"/>
          </w:tcPr>
          <w:p w:rsidR="00A2028B" w:rsidRPr="00A2028B" w:rsidRDefault="00A2028B" w:rsidP="00A2028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2028B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290" w:type="dxa"/>
          </w:tcPr>
          <w:p w:rsidR="00A2028B" w:rsidRPr="00A2028B" w:rsidRDefault="00A2028B" w:rsidP="00A2028B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A2028B">
              <w:rPr>
                <w:rFonts w:ascii="Arial" w:hAnsi="Arial" w:cs="Arial"/>
                <w:sz w:val="14"/>
                <w:szCs w:val="14"/>
              </w:rPr>
              <w:t>181</w:t>
            </w:r>
          </w:p>
        </w:tc>
      </w:tr>
    </w:tbl>
    <w:p w:rsidR="00AE0E92" w:rsidRDefault="00AE0E92" w:rsidP="006E248B">
      <w:pPr>
        <w:spacing w:afterLines="40" w:after="96"/>
        <w:jc w:val="both"/>
        <w:rPr>
          <w:rFonts w:ascii="Arial" w:eastAsia="Arial" w:hAnsi="Arial" w:cs="Arial"/>
          <w:sz w:val="18"/>
          <w:szCs w:val="18"/>
        </w:rPr>
      </w:pPr>
    </w:p>
    <w:p w:rsidR="00066168" w:rsidRDefault="00066168" w:rsidP="006E248B">
      <w:pPr>
        <w:spacing w:afterLines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Outros trabalhos apontam baixas taxas de concepção (&lt;50%) em animais com ECC≤</w:t>
      </w:r>
      <w:r w:rsidR="00260314">
        <w:rPr>
          <w:rFonts w:ascii="Arial" w:eastAsia="Arial" w:hAnsi="Arial" w:cs="Arial"/>
          <w:sz w:val="18"/>
          <w:szCs w:val="18"/>
        </w:rPr>
        <w:t>3, mas observaram aumento destas taxas em ECC entre 2,5 e 3,0 com uso de eCG (Gonadotrofina Coriônica Equina), principalmente em vacas com 30 a 59 dias pós-parto</w:t>
      </w:r>
      <w:r w:rsidR="00AF202C">
        <w:rPr>
          <w:rFonts w:ascii="Arial" w:eastAsia="Arial" w:hAnsi="Arial" w:cs="Arial"/>
          <w:sz w:val="18"/>
          <w:szCs w:val="18"/>
        </w:rPr>
        <w:t>. Isto demonstra que, de toda forma, a avaliação do ECC é bastante importante</w:t>
      </w:r>
      <w:r w:rsidR="0065350B">
        <w:rPr>
          <w:rFonts w:ascii="Arial" w:eastAsia="Arial" w:hAnsi="Arial" w:cs="Arial"/>
          <w:sz w:val="18"/>
          <w:szCs w:val="18"/>
        </w:rPr>
        <w:t xml:space="preserve"> na definição dos protocolos de IATF.</w:t>
      </w:r>
      <w:r w:rsidR="00AF72F3">
        <w:rPr>
          <w:rFonts w:ascii="Arial" w:eastAsia="Arial" w:hAnsi="Arial" w:cs="Arial"/>
          <w:sz w:val="18"/>
          <w:szCs w:val="18"/>
          <w:vertAlign w:val="superscript"/>
        </w:rPr>
        <w:t>1,5</w:t>
      </w:r>
      <w:r w:rsidR="00AF202C">
        <w:rPr>
          <w:rFonts w:ascii="Arial" w:eastAsia="Arial" w:hAnsi="Arial" w:cs="Arial"/>
          <w:sz w:val="18"/>
          <w:szCs w:val="18"/>
        </w:rPr>
        <w:t xml:space="preserve"> </w:t>
      </w:r>
      <w:r w:rsidR="00260314">
        <w:rPr>
          <w:rFonts w:ascii="Arial" w:eastAsia="Arial" w:hAnsi="Arial" w:cs="Arial"/>
          <w:sz w:val="18"/>
          <w:szCs w:val="18"/>
        </w:rPr>
        <w:t xml:space="preserve"> </w:t>
      </w:r>
    </w:p>
    <w:p w:rsidR="001F0ACB" w:rsidRDefault="001F0ACB" w:rsidP="006E24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5B3E8A" w:rsidRDefault="00034083" w:rsidP="006E248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A83CA2" w:rsidRDefault="00A83CA2" w:rsidP="006E248B">
      <w:pPr>
        <w:spacing w:afterLines="40"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desenvolvimento deste estudo nos permite considerar que o ECC é de suma importância no desempenho reprodutivo das fêmeas bovinas, submetidas aos protocolos de IATF, pois influencia na atividade ovariana e cíclica</w:t>
      </w:r>
      <w:r w:rsidR="00465101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conforme sua condição corporal. Desta forma, o uso do ECC na avaliação nutricional das matrizes colabora na</w:t>
      </w:r>
      <w:r w:rsidR="00465101">
        <w:rPr>
          <w:rFonts w:ascii="Arial" w:eastAsia="Arial" w:hAnsi="Arial" w:cs="Arial"/>
          <w:sz w:val="18"/>
          <w:szCs w:val="18"/>
        </w:rPr>
        <w:t xml:space="preserve"> elaboração estratégica de programas alimentares, para maximizar os resultados da IATF.</w:t>
      </w:r>
    </w:p>
    <w:p w:rsidR="00A83CA2" w:rsidRDefault="00A83CA2" w:rsidP="006E248B">
      <w:pPr>
        <w:spacing w:afterLines="40" w:after="96"/>
        <w:jc w:val="both"/>
        <w:rPr>
          <w:rFonts w:ascii="Arial" w:eastAsia="Arial" w:hAnsi="Arial" w:cs="Arial"/>
          <w:sz w:val="18"/>
          <w:szCs w:val="18"/>
        </w:rPr>
      </w:pPr>
    </w:p>
    <w:p w:rsidR="00A94FCF" w:rsidRDefault="00685F4C" w:rsidP="00A94FCF">
      <w:pPr>
        <w:spacing w:afterLines="40" w:after="96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APOIO:</w:t>
      </w:r>
    </w:p>
    <w:p w:rsidR="00A94FCF" w:rsidRDefault="00A94FCF" w:rsidP="00A94FCF">
      <w:pPr>
        <w:spacing w:afterLines="40" w:after="96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5B3E8A" w:rsidRPr="00A94FCF" w:rsidRDefault="00685F4C" w:rsidP="00A94FCF">
      <w:pPr>
        <w:spacing w:afterLines="40" w:after="96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r w:rsidR="00A94FCF">
        <w:rPr>
          <w:noProof/>
        </w:rPr>
        <w:drawing>
          <wp:inline distT="0" distB="0" distL="0" distR="0" wp14:anchorId="7D02459B" wp14:editId="5B353914">
            <wp:extent cx="1534160" cy="809625"/>
            <wp:effectExtent l="0" t="0" r="8890" b="0"/>
            <wp:docPr id="2" name="Imagem 2" descr="C:\Users\Larissa\AppData\Local\Microsoft\Windows\INetCache\Content.Word\LOGO GEPBOV ESCREIT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Users\Larissa\AppData\Local\Microsoft\Windows\INetCache\Content.Word\LOGO GEPBOV ESCREIT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33" r="12681"/>
                    <a:stretch/>
                  </pic:blipFill>
                  <pic:spPr bwMode="auto">
                    <a:xfrm>
                      <a:off x="0" y="0"/>
                      <a:ext cx="153416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94524" w:rsidRPr="005A2D63">
        <w:rPr>
          <w:rFonts w:ascii="Arial" w:hAnsi="Arial" w:cs="Arial"/>
          <w:color w:val="404040"/>
          <w:sz w:val="18"/>
          <w:szCs w:val="18"/>
          <w:shd w:val="clear" w:color="auto" w:fill="F2F2F2"/>
        </w:rPr>
        <w:t xml:space="preserve"> </w:t>
      </w:r>
    </w:p>
    <w:sectPr w:rsidR="005B3E8A" w:rsidRPr="00A94FCF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F04" w:rsidRDefault="002F2F04">
      <w:r>
        <w:separator/>
      </w:r>
    </w:p>
  </w:endnote>
  <w:endnote w:type="continuationSeparator" w:id="0">
    <w:p w:rsidR="002F2F04" w:rsidRDefault="002F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F04" w:rsidRDefault="002F2F04">
      <w:r>
        <w:separator/>
      </w:r>
    </w:p>
  </w:footnote>
  <w:footnote w:type="continuationSeparator" w:id="0">
    <w:p w:rsidR="002F2F04" w:rsidRDefault="002F2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8A" w:rsidRPr="003D5FAA" w:rsidRDefault="003D5F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29743DAD" wp14:editId="6B6ECC18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1" name="Imagem 1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4083"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:rsidR="005B3E8A" w:rsidRPr="003D5FAA" w:rsidRDefault="00034083" w:rsidP="003D5FAA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8A"/>
    <w:rsid w:val="0002656B"/>
    <w:rsid w:val="00034083"/>
    <w:rsid w:val="0005795D"/>
    <w:rsid w:val="00066168"/>
    <w:rsid w:val="00067241"/>
    <w:rsid w:val="000930FA"/>
    <w:rsid w:val="000B5299"/>
    <w:rsid w:val="000F1399"/>
    <w:rsid w:val="00144C4D"/>
    <w:rsid w:val="00172626"/>
    <w:rsid w:val="001B0151"/>
    <w:rsid w:val="001B01C6"/>
    <w:rsid w:val="001C5175"/>
    <w:rsid w:val="001F0ACB"/>
    <w:rsid w:val="002051EC"/>
    <w:rsid w:val="00237560"/>
    <w:rsid w:val="00260314"/>
    <w:rsid w:val="002A4C9C"/>
    <w:rsid w:val="002C2D3C"/>
    <w:rsid w:val="002C66E9"/>
    <w:rsid w:val="002F2F04"/>
    <w:rsid w:val="00300C91"/>
    <w:rsid w:val="00322A11"/>
    <w:rsid w:val="00371BFA"/>
    <w:rsid w:val="003A21C2"/>
    <w:rsid w:val="003D02BC"/>
    <w:rsid w:val="003D5FAA"/>
    <w:rsid w:val="00465101"/>
    <w:rsid w:val="004A6AB3"/>
    <w:rsid w:val="004D3716"/>
    <w:rsid w:val="004E2FC5"/>
    <w:rsid w:val="004F101F"/>
    <w:rsid w:val="004F41B4"/>
    <w:rsid w:val="004F4AE9"/>
    <w:rsid w:val="00507167"/>
    <w:rsid w:val="00551159"/>
    <w:rsid w:val="00563E0D"/>
    <w:rsid w:val="005A2D63"/>
    <w:rsid w:val="005B3E8A"/>
    <w:rsid w:val="005B5F9A"/>
    <w:rsid w:val="005B6EF6"/>
    <w:rsid w:val="006005AD"/>
    <w:rsid w:val="00604A05"/>
    <w:rsid w:val="0065350B"/>
    <w:rsid w:val="00685F4C"/>
    <w:rsid w:val="00694EBA"/>
    <w:rsid w:val="006A3E26"/>
    <w:rsid w:val="006B00AC"/>
    <w:rsid w:val="006B15D9"/>
    <w:rsid w:val="006E248B"/>
    <w:rsid w:val="007C7A68"/>
    <w:rsid w:val="007F4A9F"/>
    <w:rsid w:val="00802008"/>
    <w:rsid w:val="00813A54"/>
    <w:rsid w:val="008650D2"/>
    <w:rsid w:val="00867949"/>
    <w:rsid w:val="00894E54"/>
    <w:rsid w:val="008F0CFB"/>
    <w:rsid w:val="008F3750"/>
    <w:rsid w:val="009422AF"/>
    <w:rsid w:val="00985BAA"/>
    <w:rsid w:val="00986C11"/>
    <w:rsid w:val="009B3F02"/>
    <w:rsid w:val="009C2CC2"/>
    <w:rsid w:val="009E4D73"/>
    <w:rsid w:val="00A1128A"/>
    <w:rsid w:val="00A2028B"/>
    <w:rsid w:val="00A342F4"/>
    <w:rsid w:val="00A43629"/>
    <w:rsid w:val="00A81477"/>
    <w:rsid w:val="00A83CA2"/>
    <w:rsid w:val="00A84AB9"/>
    <w:rsid w:val="00A94604"/>
    <w:rsid w:val="00A94FCF"/>
    <w:rsid w:val="00AE0E92"/>
    <w:rsid w:val="00AE5BF2"/>
    <w:rsid w:val="00AF202C"/>
    <w:rsid w:val="00AF72F3"/>
    <w:rsid w:val="00B76259"/>
    <w:rsid w:val="00B94524"/>
    <w:rsid w:val="00BB7A25"/>
    <w:rsid w:val="00BC4747"/>
    <w:rsid w:val="00BD41CB"/>
    <w:rsid w:val="00BF0E65"/>
    <w:rsid w:val="00C228E7"/>
    <w:rsid w:val="00C76530"/>
    <w:rsid w:val="00CA2C63"/>
    <w:rsid w:val="00CB6814"/>
    <w:rsid w:val="00CF79AB"/>
    <w:rsid w:val="00D1408C"/>
    <w:rsid w:val="00D30812"/>
    <w:rsid w:val="00D33048"/>
    <w:rsid w:val="00D84CB7"/>
    <w:rsid w:val="00E06E52"/>
    <w:rsid w:val="00F00674"/>
    <w:rsid w:val="00F14CC5"/>
    <w:rsid w:val="00F67EF0"/>
    <w:rsid w:val="00FE7F4B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3D1C5C-4A19-4AF3-A8AD-078FBD61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172626"/>
    <w:rPr>
      <w:color w:val="808080"/>
    </w:rPr>
  </w:style>
  <w:style w:type="paragraph" w:customStyle="1" w:styleId="Default">
    <w:name w:val="Default"/>
    <w:rsid w:val="00F67EF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5A2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21">
    <w:name w:val="Tabela Simples 21"/>
    <w:basedOn w:val="Tabelanormal"/>
    <w:uiPriority w:val="42"/>
    <w:rsid w:val="00A2028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0d+hFiMUPyM8X6g0EVVfQlmiA==">AMUW2mV1zdiLhyt0sMRKc/b7Os6+ypYL8BPUkimSnU4vrhjSAIHsSYVLfwktOdzpAzDlO7Licbo9diEMBgDHIT2piBtIxPAQz10JfL0ZEursJuvbChfOBmrJ47GCC8TpQ0Qg/wpdCJJa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838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 Sadanã</dc:creator>
  <cp:lastModifiedBy>Reginaldo</cp:lastModifiedBy>
  <cp:revision>5</cp:revision>
  <dcterms:created xsi:type="dcterms:W3CDTF">2021-05-19T18:46:00Z</dcterms:created>
  <dcterms:modified xsi:type="dcterms:W3CDTF">2021-05-23T11:33:00Z</dcterms:modified>
</cp:coreProperties>
</file>