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C1A53" w14:textId="77777777" w:rsidR="0071226F" w:rsidRDefault="00F93915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Doença de theiler </w:t>
      </w:r>
    </w:p>
    <w:p w14:paraId="789ACFB2" w14:textId="19A42AB9" w:rsidR="0071226F" w:rsidRDefault="00BE77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André Luis de Oliveira Rodrigues </w:t>
      </w:r>
      <w:r w:rsidR="004F2BFB">
        <w:rPr>
          <w:rFonts w:ascii="Arial" w:eastAsia="Arial" w:hAnsi="Arial" w:cs="Arial"/>
          <w:b/>
          <w:color w:val="000000"/>
          <w:vertAlign w:val="superscript"/>
        </w:rPr>
        <w:t>1</w:t>
      </w:r>
      <w:r w:rsidR="004F2BFB">
        <w:rPr>
          <w:rFonts w:ascii="Arial" w:eastAsia="Arial" w:hAnsi="Arial" w:cs="Arial"/>
          <w:b/>
          <w:color w:val="000000"/>
        </w:rPr>
        <w:t xml:space="preserve">*, </w:t>
      </w:r>
      <w:r w:rsidR="00A4258C" w:rsidRPr="00A4258C">
        <w:rPr>
          <w:rFonts w:ascii="Arial" w:eastAsia="Arial" w:hAnsi="Arial" w:cs="Arial"/>
          <w:b/>
          <w:color w:val="000000"/>
        </w:rPr>
        <w:t xml:space="preserve">Loiane Aparecida Diniz </w:t>
      </w:r>
      <w:r w:rsidR="00133B7C" w:rsidRPr="00133B7C">
        <w:rPr>
          <w:rFonts w:ascii="Arial" w:eastAsia="Arial" w:hAnsi="Arial" w:cs="Arial"/>
          <w:b/>
          <w:color w:val="000000"/>
        </w:rPr>
        <w:t>1</w:t>
      </w:r>
      <w:r w:rsidR="00133B7C">
        <w:rPr>
          <w:rFonts w:ascii="Arial" w:eastAsia="Arial" w:hAnsi="Arial" w:cs="Arial"/>
          <w:b/>
          <w:color w:val="000000"/>
        </w:rPr>
        <w:t xml:space="preserve">, </w:t>
      </w:r>
      <w:r w:rsidR="00490F34" w:rsidRPr="00133B7C">
        <w:rPr>
          <w:rFonts w:ascii="Arial" w:eastAsia="Arial" w:hAnsi="Arial" w:cs="Arial"/>
          <w:b/>
          <w:color w:val="000000"/>
        </w:rPr>
        <w:t>Melina</w:t>
      </w:r>
      <w:r w:rsidR="00490F34">
        <w:rPr>
          <w:rFonts w:ascii="Arial" w:eastAsia="Arial" w:hAnsi="Arial" w:cs="Arial"/>
          <w:b/>
          <w:color w:val="000000"/>
        </w:rPr>
        <w:t xml:space="preserve"> Aparecida Felipe Abrantes </w:t>
      </w:r>
      <w:r w:rsidR="00A4258C">
        <w:rPr>
          <w:rFonts w:ascii="Arial" w:eastAsia="Arial" w:hAnsi="Arial" w:cs="Arial"/>
          <w:b/>
          <w:color w:val="000000"/>
          <w:vertAlign w:val="superscript"/>
        </w:rPr>
        <w:t>1</w:t>
      </w:r>
      <w:r w:rsidR="00133B7C">
        <w:rPr>
          <w:rFonts w:ascii="Arial" w:eastAsia="Arial" w:hAnsi="Arial" w:cs="Arial"/>
          <w:b/>
          <w:color w:val="000000"/>
        </w:rPr>
        <w:t xml:space="preserve">, </w:t>
      </w:r>
      <w:r w:rsidR="00133B7C" w:rsidRPr="00133B7C">
        <w:rPr>
          <w:rFonts w:ascii="Arial" w:eastAsia="Arial" w:hAnsi="Arial" w:cs="Arial"/>
          <w:b/>
          <w:color w:val="000000"/>
        </w:rPr>
        <w:t xml:space="preserve">Thayná Garcia Amorim </w:t>
      </w:r>
      <w:r w:rsidR="00133B7C">
        <w:rPr>
          <w:rFonts w:ascii="Arial" w:eastAsia="Arial" w:hAnsi="Arial" w:cs="Arial"/>
          <w:b/>
          <w:color w:val="000000"/>
          <w:vertAlign w:val="superscript"/>
        </w:rPr>
        <w:t>1</w:t>
      </w:r>
      <w:r w:rsidR="00133B7C">
        <w:rPr>
          <w:rFonts w:ascii="Arial" w:eastAsia="Arial" w:hAnsi="Arial" w:cs="Arial"/>
          <w:b/>
          <w:color w:val="000000"/>
        </w:rPr>
        <w:t xml:space="preserve">, </w:t>
      </w:r>
      <w:r w:rsidR="00A4258C" w:rsidRPr="00133B7C">
        <w:rPr>
          <w:rFonts w:ascii="Arial" w:eastAsia="Arial" w:hAnsi="Arial" w:cs="Arial"/>
          <w:b/>
          <w:color w:val="000000"/>
        </w:rPr>
        <w:t>Isabella</w:t>
      </w:r>
      <w:r w:rsidR="00A4258C">
        <w:rPr>
          <w:rFonts w:ascii="Arial" w:eastAsia="Arial" w:hAnsi="Arial" w:cs="Arial"/>
          <w:b/>
          <w:color w:val="000000"/>
        </w:rPr>
        <w:t xml:space="preserve"> Eduardo da Silva </w:t>
      </w:r>
      <w:r w:rsidR="00A4258C">
        <w:rPr>
          <w:rFonts w:ascii="Arial" w:eastAsia="Arial" w:hAnsi="Arial" w:cs="Arial"/>
          <w:b/>
          <w:color w:val="000000"/>
          <w:vertAlign w:val="superscript"/>
        </w:rPr>
        <w:t>2</w:t>
      </w:r>
      <w:r w:rsidR="00490F34">
        <w:rPr>
          <w:rFonts w:ascii="Arial" w:eastAsia="Arial" w:hAnsi="Arial" w:cs="Arial"/>
          <w:b/>
          <w:color w:val="000000"/>
        </w:rPr>
        <w:t>,</w:t>
      </w:r>
      <w:r w:rsidR="004F2BFB">
        <w:rPr>
          <w:rFonts w:ascii="Arial" w:eastAsia="Arial" w:hAnsi="Arial" w:cs="Arial"/>
          <w:b/>
          <w:color w:val="000000"/>
        </w:rPr>
        <w:t xml:space="preserve"> </w:t>
      </w:r>
      <w:r w:rsidR="00490F34">
        <w:rPr>
          <w:rFonts w:ascii="Arial" w:eastAsia="Arial" w:hAnsi="Arial" w:cs="Arial"/>
          <w:b/>
          <w:color w:val="000000"/>
        </w:rPr>
        <w:t>Anais de Castro Beni</w:t>
      </w:r>
      <w:r w:rsidR="00A4258C">
        <w:rPr>
          <w:rFonts w:ascii="Arial" w:eastAsia="Arial" w:hAnsi="Arial" w:cs="Arial"/>
          <w:b/>
          <w:color w:val="000000"/>
        </w:rPr>
        <w:t xml:space="preserve">tez </w:t>
      </w:r>
      <w:r w:rsidR="00A4258C">
        <w:rPr>
          <w:rFonts w:ascii="Arial" w:eastAsia="Arial" w:hAnsi="Arial" w:cs="Arial"/>
          <w:b/>
          <w:color w:val="000000"/>
          <w:vertAlign w:val="superscript"/>
        </w:rPr>
        <w:t>2</w:t>
      </w:r>
      <w:r w:rsidR="00A4258C">
        <w:rPr>
          <w:rFonts w:ascii="Arial" w:eastAsia="Arial" w:hAnsi="Arial" w:cs="Arial"/>
          <w:b/>
          <w:color w:val="000000"/>
        </w:rPr>
        <w:t xml:space="preserve">, Renata de Pino Albuquerque Maranhão </w:t>
      </w:r>
      <w:r w:rsidR="00A4258C">
        <w:rPr>
          <w:rFonts w:ascii="Arial" w:eastAsia="Arial" w:hAnsi="Arial" w:cs="Arial"/>
          <w:b/>
          <w:color w:val="000000"/>
          <w:vertAlign w:val="superscript"/>
        </w:rPr>
        <w:t>3</w:t>
      </w:r>
      <w:r w:rsidR="004F2BFB">
        <w:rPr>
          <w:rFonts w:ascii="Arial" w:eastAsia="Arial" w:hAnsi="Arial" w:cs="Arial"/>
          <w:b/>
          <w:color w:val="000000"/>
        </w:rPr>
        <w:t>.</w:t>
      </w:r>
    </w:p>
    <w:p w14:paraId="661ECF15" w14:textId="740AE398" w:rsidR="0071226F" w:rsidRDefault="004F2B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 w:rsidR="00A4258C">
        <w:rPr>
          <w:rFonts w:ascii="Arial" w:eastAsia="Arial" w:hAnsi="Arial" w:cs="Arial"/>
          <w:i/>
          <w:color w:val="000000"/>
          <w:sz w:val="14"/>
          <w:szCs w:val="14"/>
        </w:rPr>
        <w:t>Residente em clinica medica de equinos– UFMG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 – *Contato: </w:t>
      </w:r>
      <w:r w:rsidR="00A4258C">
        <w:rPr>
          <w:rFonts w:ascii="Arial" w:eastAsia="Arial" w:hAnsi="Arial" w:cs="Arial"/>
          <w:i/>
          <w:color w:val="000000"/>
          <w:sz w:val="14"/>
          <w:szCs w:val="14"/>
        </w:rPr>
        <w:t>andreluizmedvet@hotmail.com</w:t>
      </w:r>
    </w:p>
    <w:p w14:paraId="46FB365D" w14:textId="5792FE7A" w:rsidR="0071226F" w:rsidRDefault="004F2B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133B7C"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veterinária- UFMG- Belo Horizonte/MG-Brasil</w:t>
      </w:r>
    </w:p>
    <w:p w14:paraId="2E61708B" w14:textId="1650F3AD" w:rsidR="0071226F" w:rsidRDefault="004F2BFB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Professor </w:t>
      </w:r>
      <w:r w:rsidR="00133B7C">
        <w:rPr>
          <w:rFonts w:ascii="Arial" w:eastAsia="Arial" w:hAnsi="Arial" w:cs="Arial"/>
          <w:i/>
          <w:color w:val="000000"/>
          <w:sz w:val="14"/>
          <w:szCs w:val="14"/>
        </w:rPr>
        <w:t>de Medicina Veterinária – UFMG</w:t>
      </w:r>
      <w:r>
        <w:rPr>
          <w:rFonts w:ascii="Arial" w:eastAsia="Arial" w:hAnsi="Arial" w:cs="Arial"/>
          <w:i/>
          <w:color w:val="000000"/>
          <w:sz w:val="14"/>
          <w:szCs w:val="14"/>
        </w:rPr>
        <w:t>– Belo Horizonte/MG – Brasil</w:t>
      </w:r>
    </w:p>
    <w:p w14:paraId="6B274768" w14:textId="77777777" w:rsidR="0071226F" w:rsidRDefault="0071226F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71226F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End w:id="0"/>
    </w:p>
    <w:p w14:paraId="5CEB427C" w14:textId="77777777" w:rsidR="0071226F" w:rsidRDefault="004F2B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486289DB" w14:textId="18E89C4C" w:rsidR="005F4AFD" w:rsidRPr="002151DE" w:rsidRDefault="005F4AFD" w:rsidP="005F4AFD">
      <w:pPr>
        <w:spacing w:before="40" w:after="96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2151DE">
        <w:rPr>
          <w:rFonts w:ascii="Arial" w:eastAsia="Arial" w:hAnsi="Arial" w:cs="Arial"/>
          <w:color w:val="000000" w:themeColor="text1"/>
          <w:sz w:val="18"/>
          <w:szCs w:val="18"/>
        </w:rPr>
        <w:t xml:space="preserve">O fígado é a maior glândula do corpo na espécie equina, representado entre 1 a 1,5% do peso corporal.  Sendo mais pesado no embrião, ocupa a maior parte da cavidade abdominal. Após esta fase, tende a diminuir seu tamanho até </w:t>
      </w:r>
      <w:r w:rsidR="002151DE" w:rsidRPr="002151DE">
        <w:rPr>
          <w:rFonts w:ascii="Arial" w:eastAsia="Arial" w:hAnsi="Arial" w:cs="Arial"/>
          <w:color w:val="000000" w:themeColor="text1"/>
          <w:sz w:val="18"/>
          <w:szCs w:val="18"/>
        </w:rPr>
        <w:t>que atinj</w:t>
      </w:r>
      <w:r w:rsidRPr="002151DE">
        <w:rPr>
          <w:rFonts w:ascii="Arial" w:eastAsia="Arial" w:hAnsi="Arial" w:cs="Arial"/>
          <w:color w:val="000000" w:themeColor="text1"/>
          <w:sz w:val="18"/>
          <w:szCs w:val="18"/>
        </w:rPr>
        <w:t xml:space="preserve">a </w:t>
      </w:r>
      <w:r w:rsidR="002151DE" w:rsidRPr="002151DE">
        <w:rPr>
          <w:rFonts w:ascii="Arial" w:eastAsia="Arial" w:hAnsi="Arial" w:cs="Arial"/>
          <w:color w:val="000000" w:themeColor="text1"/>
          <w:sz w:val="18"/>
          <w:szCs w:val="18"/>
        </w:rPr>
        <w:t>a idade adulta, podendo ser</w:t>
      </w:r>
      <w:r w:rsidR="00902E42">
        <w:rPr>
          <w:rFonts w:ascii="Arial" w:eastAsia="Arial" w:hAnsi="Arial" w:cs="Arial"/>
          <w:color w:val="000000" w:themeColor="text1"/>
          <w:sz w:val="18"/>
          <w:szCs w:val="18"/>
        </w:rPr>
        <w:t xml:space="preserve"> atrofiado em idosos </w:t>
      </w:r>
      <w:r w:rsidR="00902E42"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>5</w:t>
      </w:r>
      <w:r w:rsidRPr="002151DE">
        <w:rPr>
          <w:rFonts w:ascii="Arial" w:eastAsia="Arial" w:hAnsi="Arial" w:cs="Arial"/>
          <w:color w:val="000000" w:themeColor="text1"/>
          <w:sz w:val="18"/>
          <w:szCs w:val="18"/>
        </w:rPr>
        <w:t xml:space="preserve">.    </w:t>
      </w:r>
    </w:p>
    <w:p w14:paraId="074F653D" w14:textId="59DB2933" w:rsidR="005F4AFD" w:rsidRPr="005F4AFD" w:rsidRDefault="005F4AFD" w:rsidP="00BE77ED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5F4AFD">
        <w:rPr>
          <w:rFonts w:ascii="Arial" w:eastAsia="Arial" w:hAnsi="Arial" w:cs="Arial"/>
          <w:color w:val="000000"/>
          <w:sz w:val="18"/>
          <w:szCs w:val="18"/>
        </w:rPr>
        <w:t>Este</w:t>
      </w:r>
      <w:r w:rsidR="007C6D6A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2151DE">
        <w:rPr>
          <w:rFonts w:ascii="Arial" w:eastAsia="Arial" w:hAnsi="Arial" w:cs="Arial"/>
          <w:color w:val="000000"/>
          <w:sz w:val="18"/>
          <w:szCs w:val="18"/>
        </w:rPr>
        <w:t>órgão</w:t>
      </w:r>
      <w:r w:rsidRPr="005F4AFD">
        <w:rPr>
          <w:rFonts w:ascii="Arial" w:eastAsia="Arial" w:hAnsi="Arial" w:cs="Arial"/>
          <w:color w:val="000000"/>
          <w:sz w:val="18"/>
          <w:szCs w:val="18"/>
        </w:rPr>
        <w:t xml:space="preserve"> é responsável por diversas funções no organismo, como síntese de proteínas como a albumina e fatores de coagulação, metabolismo de carboidratos, gorduras e compostos nitrogenados. Atuando também como reserva de minerais e vitaminas, além de metabolizar e auxiliar na excreção de substancias como bilirrubina, sais biliares e na grande maioria dos fármacos. Além disso, possui função exócrina, liberando bile no duodeno, favorecendo desta forma, a digestão e a absorção de lipídeos</w:t>
      </w:r>
      <w:r w:rsidR="00D5250C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 w:rsidRPr="005F4AFD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0BEB7E00" w14:textId="1EFFCC6C" w:rsidR="0071226F" w:rsidRPr="00D5250C" w:rsidRDefault="005F4AFD" w:rsidP="005F4AFD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5F4AFD">
        <w:rPr>
          <w:rFonts w:ascii="Arial" w:eastAsia="Arial" w:hAnsi="Arial" w:cs="Arial"/>
          <w:color w:val="000000"/>
          <w:sz w:val="18"/>
          <w:szCs w:val="18"/>
        </w:rPr>
        <w:t xml:space="preserve">O mesmo também está sujeito a sofrer lesões por diversas causas, como migração parasitária por </w:t>
      </w:r>
      <w:r w:rsidRPr="007C6D6A">
        <w:rPr>
          <w:rFonts w:ascii="Arial" w:eastAsia="Arial" w:hAnsi="Arial" w:cs="Arial"/>
          <w:i/>
          <w:color w:val="000000"/>
          <w:sz w:val="18"/>
          <w:szCs w:val="18"/>
        </w:rPr>
        <w:t>Parascaris Equorum</w:t>
      </w:r>
      <w:r w:rsidRPr="005F4AFD">
        <w:rPr>
          <w:rFonts w:ascii="Arial" w:eastAsia="Arial" w:hAnsi="Arial" w:cs="Arial"/>
          <w:color w:val="000000"/>
          <w:sz w:val="18"/>
          <w:szCs w:val="18"/>
        </w:rPr>
        <w:t xml:space="preserve">, intoxicação por medicamentos e plantas tóxicas, </w:t>
      </w:r>
      <w:r w:rsidR="00D5250C">
        <w:rPr>
          <w:rFonts w:ascii="Arial" w:eastAsia="Arial" w:hAnsi="Arial" w:cs="Arial"/>
          <w:color w:val="000000"/>
          <w:sz w:val="18"/>
          <w:szCs w:val="18"/>
        </w:rPr>
        <w:t>dese</w:t>
      </w:r>
      <w:r w:rsidRPr="005F4AFD">
        <w:rPr>
          <w:rFonts w:ascii="Arial" w:eastAsia="Arial" w:hAnsi="Arial" w:cs="Arial"/>
          <w:color w:val="000000"/>
          <w:sz w:val="18"/>
          <w:szCs w:val="18"/>
        </w:rPr>
        <w:t xml:space="preserve">nvolvimentos de neoplasias e infecções por bactérias e vírus. Estes insultos podem se resolver sem intervenção médica, se tornar um quadro crônico ou até mesmo causar insuficiência hepática, sendo </w:t>
      </w:r>
      <w:r w:rsidR="006925E4"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 w:rsidR="006925E4" w:rsidRPr="006925E4">
        <w:rPr>
          <w:rFonts w:ascii="Arial" w:eastAsia="Arial" w:hAnsi="Arial" w:cs="Arial"/>
          <w:color w:val="000000"/>
          <w:sz w:val="18"/>
          <w:szCs w:val="18"/>
        </w:rPr>
        <w:t>doença de Theile</w:t>
      </w:r>
      <w:r w:rsidR="006925E4">
        <w:rPr>
          <w:rFonts w:ascii="Arial" w:eastAsia="Arial" w:hAnsi="Arial" w:cs="Arial"/>
          <w:color w:val="000000"/>
          <w:sz w:val="18"/>
          <w:szCs w:val="18"/>
        </w:rPr>
        <w:t>r, a</w:t>
      </w:r>
      <w:r w:rsidRPr="005F4AFD">
        <w:rPr>
          <w:rFonts w:ascii="Arial" w:eastAsia="Arial" w:hAnsi="Arial" w:cs="Arial"/>
          <w:color w:val="000000"/>
          <w:sz w:val="18"/>
          <w:szCs w:val="18"/>
        </w:rPr>
        <w:t xml:space="preserve"> principal causa de insuficiência hepá</w:t>
      </w:r>
      <w:r w:rsidR="006925E4">
        <w:rPr>
          <w:rFonts w:ascii="Arial" w:eastAsia="Arial" w:hAnsi="Arial" w:cs="Arial"/>
          <w:color w:val="000000"/>
          <w:sz w:val="18"/>
          <w:szCs w:val="18"/>
        </w:rPr>
        <w:t>tica aguda em animais adultos</w:t>
      </w:r>
      <w:r w:rsidR="00D5250C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 w:rsidR="00D5250C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644D7940" w14:textId="77777777" w:rsidR="006925E4" w:rsidRDefault="006925E4" w:rsidP="005F4AFD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B316F62" w14:textId="77777777" w:rsidR="0071226F" w:rsidRDefault="004F2B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2040FA60" w14:textId="6DA116F2" w:rsidR="0071226F" w:rsidRDefault="00837A86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Para desenvolver esta revisão foram acessadas as plataformas de pesquisas ScienceDirect e Google Acadêmico, além dos sites de pesquisas </w:t>
      </w:r>
      <w:r w:rsidR="00C66F82">
        <w:rPr>
          <w:rFonts w:ascii="Arial" w:eastAsia="Arial" w:hAnsi="Arial" w:cs="Arial"/>
          <w:color w:val="000000"/>
          <w:sz w:val="18"/>
          <w:szCs w:val="18"/>
        </w:rPr>
        <w:t>Journal of Veterinary Internal Medicine e Veterinary Clinics Equine Practice. Sendo as principais palavras chaves utilizadas ‘’equinos”, “fígado”, “hepatite”, “</w:t>
      </w:r>
      <w:r w:rsidR="00C66F82" w:rsidRPr="00C66F82">
        <w:rPr>
          <w:rFonts w:ascii="Arial" w:eastAsia="Arial" w:hAnsi="Arial" w:cs="Arial"/>
          <w:color w:val="000000"/>
          <w:sz w:val="18"/>
          <w:szCs w:val="18"/>
        </w:rPr>
        <w:t>parvovírus equino (Eqpv-</w:t>
      </w:r>
      <w:r w:rsidR="00373C81" w:rsidRPr="00C66F82">
        <w:rPr>
          <w:rFonts w:ascii="Arial" w:eastAsia="Arial" w:hAnsi="Arial" w:cs="Arial"/>
          <w:color w:val="000000"/>
          <w:sz w:val="18"/>
          <w:szCs w:val="18"/>
        </w:rPr>
        <w:t>H</w:t>
      </w:r>
      <w:r w:rsidR="00373C81">
        <w:rPr>
          <w:rFonts w:ascii="Arial" w:eastAsia="Arial" w:hAnsi="Arial" w:cs="Arial"/>
          <w:color w:val="000000"/>
          <w:sz w:val="18"/>
          <w:szCs w:val="18"/>
        </w:rPr>
        <w:t xml:space="preserve">) ” </w:t>
      </w:r>
      <w:r w:rsidR="00C66F82">
        <w:rPr>
          <w:rFonts w:ascii="Arial" w:eastAsia="Arial" w:hAnsi="Arial" w:cs="Arial"/>
          <w:color w:val="000000"/>
          <w:sz w:val="18"/>
          <w:szCs w:val="18"/>
        </w:rPr>
        <w:t>e “</w:t>
      </w:r>
      <w:r w:rsidR="00AC4CF1" w:rsidRPr="00AC4CF1">
        <w:rPr>
          <w:rFonts w:ascii="Arial" w:eastAsia="Arial" w:hAnsi="Arial" w:cs="Arial"/>
          <w:color w:val="000000"/>
          <w:sz w:val="18"/>
          <w:szCs w:val="18"/>
        </w:rPr>
        <w:t>doença de Theiler</w:t>
      </w:r>
      <w:r w:rsidR="00AC4CF1">
        <w:rPr>
          <w:rFonts w:ascii="Arial" w:eastAsia="Arial" w:hAnsi="Arial" w:cs="Arial"/>
          <w:color w:val="000000"/>
          <w:sz w:val="18"/>
          <w:szCs w:val="18"/>
        </w:rPr>
        <w:t xml:space="preserve">”. </w:t>
      </w:r>
    </w:p>
    <w:p w14:paraId="77D20B31" w14:textId="77777777" w:rsidR="0071226F" w:rsidRDefault="004F2B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18929C7E" w14:textId="09499516" w:rsidR="00942C17" w:rsidRDefault="006F26A6" w:rsidP="006F26A6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 w:rsidRPr="006F26A6">
        <w:rPr>
          <w:rFonts w:ascii="Arial" w:eastAsia="Arial" w:hAnsi="Arial" w:cs="Arial"/>
          <w:sz w:val="18"/>
          <w:szCs w:val="18"/>
        </w:rPr>
        <w:t xml:space="preserve">Doença de Theiler, é o nome dado a uma </w:t>
      </w:r>
      <w:r w:rsidR="00CA4044">
        <w:rPr>
          <w:rFonts w:ascii="Arial" w:eastAsia="Arial" w:hAnsi="Arial" w:cs="Arial"/>
          <w:sz w:val="18"/>
          <w:szCs w:val="18"/>
        </w:rPr>
        <w:t>enfermidade</w:t>
      </w:r>
      <w:r w:rsidRPr="006F26A6">
        <w:rPr>
          <w:rFonts w:ascii="Arial" w:eastAsia="Arial" w:hAnsi="Arial" w:cs="Arial"/>
          <w:sz w:val="18"/>
          <w:szCs w:val="18"/>
        </w:rPr>
        <w:t xml:space="preserve"> inflamatória severa que acomete o tecido hepático de equinos. Possui alta taxa de letalidade, ocorrendo principalmente, em animais com idade superior</w:t>
      </w:r>
      <w:r w:rsidR="002824DB">
        <w:rPr>
          <w:rFonts w:ascii="Arial" w:eastAsia="Arial" w:hAnsi="Arial" w:cs="Arial"/>
          <w:sz w:val="18"/>
          <w:szCs w:val="18"/>
        </w:rPr>
        <w:t xml:space="preserve"> a</w:t>
      </w:r>
      <w:r w:rsidRPr="006F26A6">
        <w:rPr>
          <w:rFonts w:ascii="Arial" w:eastAsia="Arial" w:hAnsi="Arial" w:cs="Arial"/>
          <w:sz w:val="18"/>
          <w:szCs w:val="18"/>
        </w:rPr>
        <w:t xml:space="preserve"> 1 ano de idade. Foi</w:t>
      </w:r>
      <w:r w:rsidR="00CA4044">
        <w:rPr>
          <w:rFonts w:ascii="Arial" w:eastAsia="Arial" w:hAnsi="Arial" w:cs="Arial"/>
          <w:sz w:val="18"/>
          <w:szCs w:val="18"/>
        </w:rPr>
        <w:t xml:space="preserve"> descrita</w:t>
      </w:r>
      <w:r w:rsidRPr="006F26A6">
        <w:rPr>
          <w:rFonts w:ascii="Arial" w:eastAsia="Arial" w:hAnsi="Arial" w:cs="Arial"/>
          <w:sz w:val="18"/>
          <w:szCs w:val="18"/>
        </w:rPr>
        <w:t xml:space="preserve"> pela primeira vez </w:t>
      </w:r>
      <w:r w:rsidR="002824DB">
        <w:rPr>
          <w:rFonts w:ascii="Arial" w:eastAsia="Arial" w:hAnsi="Arial" w:cs="Arial"/>
          <w:sz w:val="18"/>
          <w:szCs w:val="18"/>
        </w:rPr>
        <w:t xml:space="preserve">em </w:t>
      </w:r>
      <w:r w:rsidRPr="006F26A6">
        <w:rPr>
          <w:rFonts w:ascii="Arial" w:eastAsia="Arial" w:hAnsi="Arial" w:cs="Arial"/>
          <w:sz w:val="18"/>
          <w:szCs w:val="18"/>
        </w:rPr>
        <w:t>1918 por Sir Arnold Theiler</w:t>
      </w:r>
      <w:r w:rsidR="00942C17">
        <w:rPr>
          <w:rFonts w:ascii="Arial" w:eastAsia="Arial" w:hAnsi="Arial" w:cs="Arial"/>
          <w:sz w:val="18"/>
          <w:szCs w:val="18"/>
        </w:rPr>
        <w:t xml:space="preserve"> </w:t>
      </w:r>
      <w:r w:rsidR="00D5250C">
        <w:rPr>
          <w:rFonts w:ascii="Arial" w:eastAsia="Arial" w:hAnsi="Arial" w:cs="Arial"/>
          <w:sz w:val="18"/>
          <w:szCs w:val="18"/>
          <w:vertAlign w:val="superscript"/>
        </w:rPr>
        <w:t>8</w:t>
      </w:r>
      <w:r w:rsidR="00942C17">
        <w:rPr>
          <w:rFonts w:ascii="Arial" w:eastAsia="Arial" w:hAnsi="Arial" w:cs="Arial"/>
          <w:sz w:val="18"/>
          <w:szCs w:val="18"/>
        </w:rPr>
        <w:t>.</w:t>
      </w:r>
    </w:p>
    <w:p w14:paraId="0239C541" w14:textId="680E8DE8" w:rsidR="00942C17" w:rsidRPr="00D5250C" w:rsidRDefault="00D5250C" w:rsidP="006F26A6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d</w:t>
      </w:r>
      <w:r w:rsidR="009A4433">
        <w:rPr>
          <w:rFonts w:ascii="Arial" w:eastAsia="Arial" w:hAnsi="Arial" w:cs="Arial"/>
          <w:sz w:val="18"/>
          <w:szCs w:val="18"/>
        </w:rPr>
        <w:t>oença de Theiler frequentemente tem sido associada a aplicação de produtos de origem biológica equina, como a antitoxina tetânica.</w:t>
      </w:r>
      <w:r w:rsidR="002824DB">
        <w:rPr>
          <w:rFonts w:ascii="Arial" w:eastAsia="Arial" w:hAnsi="Arial" w:cs="Arial"/>
          <w:sz w:val="18"/>
          <w:szCs w:val="18"/>
        </w:rPr>
        <w:t xml:space="preserve"> Porém, alguns vírus foram descobertos recentemente em equinos com quadro sugestivo de hepatite fulminante, se destacando o parvovírus equino (Eqpv-H)</w:t>
      </w:r>
      <w:r w:rsidR="00CA4044">
        <w:rPr>
          <w:rFonts w:ascii="Arial" w:eastAsia="Arial" w:hAnsi="Arial" w:cs="Arial"/>
          <w:sz w:val="18"/>
          <w:szCs w:val="18"/>
        </w:rPr>
        <w:t xml:space="preserve"> e que tem sido encontrado com elevada frequência em soro de animais que vieram a óbito pela doença </w:t>
      </w:r>
      <w:r w:rsidR="00490F34" w:rsidRPr="00490F34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490F34">
        <w:rPr>
          <w:rFonts w:ascii="Arial" w:eastAsia="Arial" w:hAnsi="Arial" w:cs="Arial"/>
          <w:sz w:val="18"/>
          <w:szCs w:val="18"/>
          <w:vertAlign w:val="superscript"/>
        </w:rPr>
        <w:t xml:space="preserve">, </w:t>
      </w:r>
      <w:r w:rsidR="00490F34" w:rsidRPr="00490F34">
        <w:rPr>
          <w:rFonts w:ascii="Arial" w:eastAsia="Arial" w:hAnsi="Arial" w:cs="Arial"/>
          <w:sz w:val="18"/>
          <w:szCs w:val="18"/>
          <w:vertAlign w:val="superscript"/>
        </w:rPr>
        <w:t>4</w:t>
      </w:r>
      <w:r w:rsidR="00490F34">
        <w:rPr>
          <w:rFonts w:ascii="Arial" w:eastAsia="Arial" w:hAnsi="Arial" w:cs="Arial"/>
          <w:sz w:val="18"/>
          <w:szCs w:val="18"/>
          <w:vertAlign w:val="superscript"/>
        </w:rPr>
        <w:t xml:space="preserve">, </w:t>
      </w:r>
      <w:r w:rsidR="00490F34" w:rsidRPr="00490F34">
        <w:rPr>
          <w:rFonts w:ascii="Arial" w:eastAsia="Arial" w:hAnsi="Arial" w:cs="Arial"/>
          <w:sz w:val="18"/>
          <w:szCs w:val="18"/>
          <w:vertAlign w:val="superscript"/>
        </w:rPr>
        <w:t>8</w:t>
      </w:r>
      <w:r w:rsidR="006F26A6">
        <w:rPr>
          <w:rFonts w:ascii="Arial" w:eastAsia="Arial" w:hAnsi="Arial" w:cs="Arial"/>
          <w:sz w:val="18"/>
          <w:szCs w:val="18"/>
        </w:rPr>
        <w:t xml:space="preserve">. </w:t>
      </w:r>
      <w:r w:rsidR="00CA4044">
        <w:rPr>
          <w:rFonts w:ascii="Arial" w:eastAsia="Arial" w:hAnsi="Arial" w:cs="Arial"/>
          <w:sz w:val="18"/>
          <w:szCs w:val="18"/>
        </w:rPr>
        <w:t>A associação da Doença de Theiler com o Eqpv-H</w:t>
      </w:r>
      <w:r w:rsidR="00C35F9F">
        <w:rPr>
          <w:rFonts w:ascii="Arial" w:eastAsia="Arial" w:hAnsi="Arial" w:cs="Arial"/>
          <w:sz w:val="18"/>
          <w:szCs w:val="18"/>
        </w:rPr>
        <w:t xml:space="preserve"> </w:t>
      </w:r>
      <w:r w:rsidR="00CA4044">
        <w:rPr>
          <w:rFonts w:ascii="Arial" w:eastAsia="Arial" w:hAnsi="Arial" w:cs="Arial"/>
          <w:sz w:val="18"/>
          <w:szCs w:val="18"/>
        </w:rPr>
        <w:t>não foi descrita na América Central</w:t>
      </w:r>
      <w:r>
        <w:rPr>
          <w:rFonts w:ascii="Arial" w:eastAsia="Arial" w:hAnsi="Arial" w:cs="Arial"/>
          <w:sz w:val="18"/>
          <w:szCs w:val="18"/>
        </w:rPr>
        <w:t xml:space="preserve"> e do Sul </w:t>
      </w:r>
      <w:r w:rsidR="00490F34">
        <w:rPr>
          <w:rFonts w:ascii="Arial" w:eastAsia="Arial" w:hAnsi="Arial" w:cs="Arial"/>
          <w:sz w:val="18"/>
          <w:szCs w:val="18"/>
          <w:vertAlign w:val="superscript"/>
        </w:rPr>
        <w:t>8.</w:t>
      </w:r>
    </w:p>
    <w:p w14:paraId="50AD3D24" w14:textId="378841CA" w:rsidR="006F26A6" w:rsidRDefault="00C35F9F" w:rsidP="006F26A6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Eqpv-H é pequeno, possui </w:t>
      </w:r>
      <w:r w:rsidR="006F26A6" w:rsidRPr="006F26A6">
        <w:rPr>
          <w:rFonts w:ascii="Arial" w:eastAsia="Arial" w:hAnsi="Arial" w:cs="Arial"/>
          <w:sz w:val="18"/>
          <w:szCs w:val="18"/>
        </w:rPr>
        <w:t>DNA</w:t>
      </w:r>
      <w:r>
        <w:rPr>
          <w:rFonts w:ascii="Arial" w:eastAsia="Arial" w:hAnsi="Arial" w:cs="Arial"/>
          <w:sz w:val="18"/>
          <w:szCs w:val="18"/>
        </w:rPr>
        <w:t xml:space="preserve"> e </w:t>
      </w:r>
      <w:r w:rsidR="006F26A6" w:rsidRPr="006F26A6">
        <w:rPr>
          <w:rFonts w:ascii="Arial" w:eastAsia="Arial" w:hAnsi="Arial" w:cs="Arial"/>
          <w:sz w:val="18"/>
          <w:szCs w:val="18"/>
        </w:rPr>
        <w:t>sem envelope.</w:t>
      </w:r>
      <w:r>
        <w:rPr>
          <w:rFonts w:ascii="Arial" w:eastAsia="Arial" w:hAnsi="Arial" w:cs="Arial"/>
          <w:sz w:val="18"/>
          <w:szCs w:val="18"/>
        </w:rPr>
        <w:t xml:space="preserve"> É p</w:t>
      </w:r>
      <w:r w:rsidR="006F26A6" w:rsidRPr="006F26A6">
        <w:rPr>
          <w:rFonts w:ascii="Arial" w:eastAsia="Arial" w:hAnsi="Arial" w:cs="Arial"/>
          <w:sz w:val="18"/>
          <w:szCs w:val="18"/>
        </w:rPr>
        <w:t>ertencente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6F26A6">
        <w:rPr>
          <w:rFonts w:ascii="Arial" w:eastAsia="Arial" w:hAnsi="Arial" w:cs="Arial"/>
          <w:sz w:val="18"/>
          <w:szCs w:val="18"/>
        </w:rPr>
        <w:t>à</w:t>
      </w:r>
      <w:r w:rsidR="006F26A6" w:rsidRPr="006F26A6">
        <w:rPr>
          <w:rFonts w:ascii="Arial" w:eastAsia="Arial" w:hAnsi="Arial" w:cs="Arial"/>
          <w:sz w:val="18"/>
          <w:szCs w:val="18"/>
        </w:rPr>
        <w:t xml:space="preserve"> família Parvoviridae, subfamília Parvovirinae e gênero </w:t>
      </w:r>
      <w:r w:rsidR="006F26A6" w:rsidRPr="007C6D6A">
        <w:rPr>
          <w:rFonts w:ascii="Arial" w:eastAsia="Arial" w:hAnsi="Arial" w:cs="Arial"/>
          <w:i/>
          <w:sz w:val="18"/>
          <w:szCs w:val="18"/>
        </w:rPr>
        <w:t>Copiparvovírus</w:t>
      </w:r>
      <w:r w:rsidR="006F26A6" w:rsidRPr="006F26A6">
        <w:rPr>
          <w:rFonts w:ascii="Arial" w:eastAsia="Arial" w:hAnsi="Arial" w:cs="Arial"/>
          <w:sz w:val="18"/>
          <w:szCs w:val="18"/>
        </w:rPr>
        <w:t xml:space="preserve">. </w:t>
      </w:r>
      <w:r w:rsidR="00E54E63">
        <w:rPr>
          <w:rFonts w:ascii="Arial" w:eastAsia="Arial" w:hAnsi="Arial" w:cs="Arial"/>
          <w:sz w:val="18"/>
          <w:szCs w:val="18"/>
        </w:rPr>
        <w:t xml:space="preserve"> </w:t>
      </w:r>
      <w:r w:rsidR="006F26A6" w:rsidRPr="006F26A6">
        <w:rPr>
          <w:rFonts w:ascii="Arial" w:eastAsia="Arial" w:hAnsi="Arial" w:cs="Arial"/>
          <w:sz w:val="18"/>
          <w:szCs w:val="18"/>
        </w:rPr>
        <w:t>Ao inocular o Eqpv-H em animais clinicamente saudáveis e com PCR e sorologia negativa para parvovírus equino, pesquisadores conseguiram demonstrar que este é hepatotrópico e causa</w:t>
      </w:r>
      <w:r w:rsidR="00902E42">
        <w:rPr>
          <w:rFonts w:ascii="Arial" w:eastAsia="Arial" w:hAnsi="Arial" w:cs="Arial"/>
          <w:sz w:val="18"/>
          <w:szCs w:val="18"/>
        </w:rPr>
        <w:t xml:space="preserve"> hepatite clínica e subclínica</w:t>
      </w:r>
      <w:r w:rsidR="00902E42">
        <w:rPr>
          <w:rFonts w:ascii="Arial" w:eastAsia="Arial" w:hAnsi="Arial" w:cs="Arial"/>
          <w:sz w:val="18"/>
          <w:szCs w:val="18"/>
          <w:vertAlign w:val="superscript"/>
        </w:rPr>
        <w:t xml:space="preserve"> 8.</w:t>
      </w:r>
      <w:r w:rsidR="006F26A6" w:rsidRPr="006F26A6">
        <w:rPr>
          <w:rFonts w:ascii="Arial" w:eastAsia="Arial" w:hAnsi="Arial" w:cs="Arial"/>
          <w:sz w:val="18"/>
          <w:szCs w:val="18"/>
        </w:rPr>
        <w:t xml:space="preserve"> </w:t>
      </w:r>
    </w:p>
    <w:p w14:paraId="4B72CBDF" w14:textId="4F271062" w:rsidR="006F26A6" w:rsidRPr="007035CC" w:rsidRDefault="006F26A6" w:rsidP="006F26A6">
      <w:pPr>
        <w:spacing w:after="96"/>
        <w:jc w:val="both"/>
        <w:rPr>
          <w:rFonts w:ascii="Arial" w:eastAsia="Arial" w:hAnsi="Arial" w:cs="Arial"/>
          <w:color w:val="4472C4" w:themeColor="accent1"/>
          <w:sz w:val="18"/>
          <w:szCs w:val="18"/>
        </w:rPr>
      </w:pPr>
      <w:r w:rsidRPr="006F26A6">
        <w:rPr>
          <w:rFonts w:ascii="Arial" w:eastAsia="Arial" w:hAnsi="Arial" w:cs="Arial"/>
          <w:sz w:val="18"/>
          <w:szCs w:val="18"/>
        </w:rPr>
        <w:t>Dentre os sinais clínicos, estes são predominantemente   neurológicos decorrentes de encefalopatia hepática, como depressão, head pressing, cegueira</w:t>
      </w:r>
      <w:r w:rsidR="00902E42">
        <w:rPr>
          <w:rFonts w:ascii="Arial" w:eastAsia="Arial" w:hAnsi="Arial" w:cs="Arial"/>
          <w:sz w:val="18"/>
          <w:szCs w:val="18"/>
        </w:rPr>
        <w:t xml:space="preserve">, ataxia e </w:t>
      </w:r>
      <w:r w:rsidR="00F340CB">
        <w:rPr>
          <w:rFonts w:ascii="Arial" w:eastAsia="Arial" w:hAnsi="Arial" w:cs="Arial"/>
          <w:sz w:val="18"/>
          <w:szCs w:val="18"/>
        </w:rPr>
        <w:t>obtundação</w:t>
      </w:r>
      <w:bookmarkStart w:id="1" w:name="_GoBack"/>
      <w:bookmarkEnd w:id="1"/>
      <w:r w:rsidR="00902E42">
        <w:rPr>
          <w:rFonts w:ascii="Arial" w:eastAsia="Arial" w:hAnsi="Arial" w:cs="Arial"/>
          <w:sz w:val="18"/>
          <w:szCs w:val="18"/>
        </w:rPr>
        <w:t xml:space="preserve"> </w:t>
      </w:r>
      <w:r w:rsidR="00902E42">
        <w:rPr>
          <w:rFonts w:ascii="Arial" w:eastAsia="Arial" w:hAnsi="Arial" w:cs="Arial"/>
          <w:sz w:val="18"/>
          <w:szCs w:val="18"/>
          <w:vertAlign w:val="superscript"/>
        </w:rPr>
        <w:t>3</w:t>
      </w:r>
      <w:r w:rsidRPr="006F26A6">
        <w:rPr>
          <w:rFonts w:ascii="Arial" w:eastAsia="Arial" w:hAnsi="Arial" w:cs="Arial"/>
          <w:sz w:val="18"/>
          <w:szCs w:val="18"/>
        </w:rPr>
        <w:t>. Icterícia também é observada com frequência. Outros sinais como decúbito por hipoglicemia severa, pirexia, distúrbios hemorrágicos, fotossen</w:t>
      </w:r>
      <w:r w:rsidR="00E54E63">
        <w:rPr>
          <w:rFonts w:ascii="Arial" w:eastAsia="Arial" w:hAnsi="Arial" w:cs="Arial"/>
          <w:sz w:val="18"/>
          <w:szCs w:val="18"/>
        </w:rPr>
        <w:t>s</w:t>
      </w:r>
      <w:r w:rsidRPr="006F26A6">
        <w:rPr>
          <w:rFonts w:ascii="Arial" w:eastAsia="Arial" w:hAnsi="Arial" w:cs="Arial"/>
          <w:sz w:val="18"/>
          <w:szCs w:val="18"/>
        </w:rPr>
        <w:t>sibilização, desconforto abdominal com hipomotilidade intestinal e fezes ressecadas são observados em menor frequência</w:t>
      </w:r>
      <w:r w:rsidR="00902E42">
        <w:rPr>
          <w:rFonts w:ascii="Arial" w:eastAsia="Arial" w:hAnsi="Arial" w:cs="Arial"/>
          <w:sz w:val="18"/>
          <w:szCs w:val="18"/>
        </w:rPr>
        <w:t xml:space="preserve"> </w:t>
      </w:r>
      <w:r w:rsidR="00902E42">
        <w:rPr>
          <w:rFonts w:ascii="Arial" w:eastAsia="Arial" w:hAnsi="Arial" w:cs="Arial"/>
          <w:sz w:val="18"/>
          <w:szCs w:val="18"/>
          <w:vertAlign w:val="superscript"/>
        </w:rPr>
        <w:t>8</w:t>
      </w:r>
      <w:r w:rsidRPr="006F26A6">
        <w:rPr>
          <w:rFonts w:ascii="Arial" w:eastAsia="Arial" w:hAnsi="Arial" w:cs="Arial"/>
          <w:sz w:val="18"/>
          <w:szCs w:val="18"/>
        </w:rPr>
        <w:t xml:space="preserve">. </w:t>
      </w:r>
      <w:r w:rsidR="002151DE" w:rsidRPr="002151DE">
        <w:rPr>
          <w:rFonts w:ascii="Arial" w:eastAsia="Arial" w:hAnsi="Arial" w:cs="Arial"/>
          <w:sz w:val="18"/>
          <w:szCs w:val="18"/>
        </w:rPr>
        <w:t xml:space="preserve">Dentre os marcadores de função hepática a </w:t>
      </w:r>
      <w:r w:rsidR="002151DE">
        <w:rPr>
          <w:rFonts w:ascii="Arial" w:eastAsia="Arial" w:hAnsi="Arial" w:cs="Arial"/>
          <w:color w:val="000000" w:themeColor="text1"/>
          <w:sz w:val="18"/>
          <w:szCs w:val="18"/>
        </w:rPr>
        <w:t>b</w:t>
      </w:r>
      <w:r w:rsidR="00101BE1" w:rsidRPr="002151DE">
        <w:rPr>
          <w:rFonts w:ascii="Arial" w:eastAsia="Arial" w:hAnsi="Arial" w:cs="Arial"/>
          <w:color w:val="000000" w:themeColor="text1"/>
          <w:sz w:val="18"/>
          <w:szCs w:val="18"/>
        </w:rPr>
        <w:t>ilirrubina total geralmente está na faixa de 12 a 20 mg/dl, sendo em média 75% deste valor correspondente a bilirrubina não conjugada. Dosagem de ácidos biliares raramente nos acrescenta informações além das fornecidas por bilirru</w:t>
      </w:r>
      <w:r w:rsidR="00902E42">
        <w:rPr>
          <w:rFonts w:ascii="Arial" w:eastAsia="Arial" w:hAnsi="Arial" w:cs="Arial"/>
          <w:color w:val="000000" w:themeColor="text1"/>
          <w:sz w:val="18"/>
          <w:szCs w:val="18"/>
        </w:rPr>
        <w:t xml:space="preserve">binas e enzimas hepáticas </w:t>
      </w:r>
      <w:r w:rsidR="00902E42"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>7</w:t>
      </w:r>
      <w:r w:rsidR="00101BE1" w:rsidRPr="002151DE">
        <w:rPr>
          <w:rFonts w:ascii="Arial" w:eastAsia="Arial" w:hAnsi="Arial" w:cs="Arial"/>
          <w:color w:val="000000" w:themeColor="text1"/>
          <w:sz w:val="18"/>
          <w:szCs w:val="18"/>
        </w:rPr>
        <w:t xml:space="preserve">. </w:t>
      </w:r>
      <w:r w:rsidRPr="002151DE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</w:p>
    <w:p w14:paraId="0E041144" w14:textId="2617089C" w:rsidR="006F26A6" w:rsidRDefault="006F26A6" w:rsidP="006F26A6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 w:rsidRPr="006F26A6">
        <w:rPr>
          <w:rFonts w:ascii="Arial" w:eastAsia="Arial" w:hAnsi="Arial" w:cs="Arial"/>
          <w:sz w:val="18"/>
          <w:szCs w:val="18"/>
        </w:rPr>
        <w:t>Na macroscopia, o fígado tende de estar de tamanho reduzido, representando em torno de 1% do peso vivo e as mucosas geralmente estão ictéricas. O diagnóstico definitivo é obtido através da biopsia hepática, que pode ser realizada com auxílio de um ultrassom guiado. Microscopicamente, se observa necrose centrolobular aguda a maciça, com per</w:t>
      </w:r>
      <w:r w:rsidR="00101BE1">
        <w:rPr>
          <w:rFonts w:ascii="Arial" w:eastAsia="Arial" w:hAnsi="Arial" w:cs="Arial"/>
          <w:sz w:val="18"/>
          <w:szCs w:val="18"/>
        </w:rPr>
        <w:t>d</w:t>
      </w:r>
      <w:r w:rsidRPr="006F26A6">
        <w:rPr>
          <w:rFonts w:ascii="Arial" w:eastAsia="Arial" w:hAnsi="Arial" w:cs="Arial"/>
          <w:sz w:val="18"/>
          <w:szCs w:val="18"/>
        </w:rPr>
        <w:t xml:space="preserve">a da arquitetura lobular. Comumente, há uma leve a moderada infiltração de linfócitos na região portal e proliferação de ducto biliar, estando estes últimos correlacionados com a duração da doença. Os hepatócitos que se encontram em volta estão acometidos por degeneração gordurosa e hemorragia periacinar também pode ser vista, </w:t>
      </w:r>
      <w:r w:rsidR="00902E42">
        <w:rPr>
          <w:rFonts w:ascii="Arial" w:eastAsia="Arial" w:hAnsi="Arial" w:cs="Arial"/>
          <w:sz w:val="18"/>
          <w:szCs w:val="18"/>
        </w:rPr>
        <w:t xml:space="preserve">porém em menor frequência </w:t>
      </w:r>
      <w:r w:rsidR="00902E42">
        <w:rPr>
          <w:rFonts w:ascii="Arial" w:eastAsia="Arial" w:hAnsi="Arial" w:cs="Arial"/>
          <w:sz w:val="18"/>
          <w:szCs w:val="18"/>
          <w:vertAlign w:val="superscript"/>
        </w:rPr>
        <w:t>7</w:t>
      </w:r>
      <w:r w:rsidRPr="006F26A6">
        <w:rPr>
          <w:rFonts w:ascii="Arial" w:eastAsia="Arial" w:hAnsi="Arial" w:cs="Arial"/>
          <w:sz w:val="18"/>
          <w:szCs w:val="18"/>
        </w:rPr>
        <w:t xml:space="preserve">. </w:t>
      </w:r>
    </w:p>
    <w:p w14:paraId="4D171CB8" w14:textId="0D805C97" w:rsidR="006F26A6" w:rsidRPr="006F26A6" w:rsidRDefault="006F26A6" w:rsidP="006F26A6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 w:rsidRPr="006F26A6">
        <w:rPr>
          <w:rFonts w:ascii="Arial" w:eastAsia="Arial" w:hAnsi="Arial" w:cs="Arial"/>
          <w:sz w:val="18"/>
          <w:szCs w:val="18"/>
        </w:rPr>
        <w:t>O tratamento é direcionado principalmente para os sinais clínicos, visto que não existe antivirais para combater os possíveis causadores da doença</w:t>
      </w:r>
      <w:r w:rsidR="006771FE">
        <w:rPr>
          <w:rFonts w:ascii="Arial" w:eastAsia="Arial" w:hAnsi="Arial" w:cs="Arial"/>
          <w:sz w:val="18"/>
          <w:szCs w:val="18"/>
        </w:rPr>
        <w:t>.</w:t>
      </w:r>
      <w:r w:rsidR="006771FE">
        <w:rPr>
          <w:rFonts w:ascii="Arial" w:eastAsia="Arial" w:hAnsi="Arial" w:cs="Arial"/>
          <w:color w:val="FF0000"/>
          <w:sz w:val="18"/>
          <w:szCs w:val="18"/>
        </w:rPr>
        <w:t xml:space="preserve"> </w:t>
      </w:r>
      <w:r w:rsidRPr="006F26A6">
        <w:rPr>
          <w:rFonts w:ascii="Arial" w:eastAsia="Arial" w:hAnsi="Arial" w:cs="Arial"/>
          <w:sz w:val="18"/>
          <w:szCs w:val="18"/>
        </w:rPr>
        <w:t>Devido ao quadro de insuficiência hepática aguda, se faz necessário o uso de antibióticos de amplo espectro, enquanto a pentoxifilina (7.5 mg/Kg BID ou TID) auxilia no cont</w:t>
      </w:r>
      <w:r w:rsidR="00902E42">
        <w:rPr>
          <w:rFonts w:ascii="Arial" w:eastAsia="Arial" w:hAnsi="Arial" w:cs="Arial"/>
          <w:sz w:val="18"/>
          <w:szCs w:val="18"/>
        </w:rPr>
        <w:t xml:space="preserve">role da inflamação </w:t>
      </w:r>
      <w:r w:rsidR="00902E42">
        <w:rPr>
          <w:rFonts w:ascii="Arial" w:eastAsia="Arial" w:hAnsi="Arial" w:cs="Arial"/>
          <w:sz w:val="18"/>
          <w:szCs w:val="18"/>
          <w:vertAlign w:val="superscript"/>
        </w:rPr>
        <w:t>3</w:t>
      </w:r>
      <w:r w:rsidR="006771FE">
        <w:rPr>
          <w:rFonts w:ascii="Arial" w:eastAsia="Arial" w:hAnsi="Arial" w:cs="Arial"/>
          <w:sz w:val="18"/>
          <w:szCs w:val="18"/>
        </w:rPr>
        <w:t>.</w:t>
      </w:r>
      <w:r w:rsidRPr="006F26A6">
        <w:rPr>
          <w:rFonts w:ascii="Arial" w:eastAsia="Arial" w:hAnsi="Arial" w:cs="Arial"/>
          <w:sz w:val="18"/>
          <w:szCs w:val="18"/>
        </w:rPr>
        <w:t xml:space="preserve"> </w:t>
      </w:r>
      <w:r w:rsidR="006771FE" w:rsidRPr="006F26A6">
        <w:rPr>
          <w:rFonts w:ascii="Arial" w:eastAsia="Arial" w:hAnsi="Arial" w:cs="Arial"/>
          <w:sz w:val="18"/>
          <w:szCs w:val="18"/>
        </w:rPr>
        <w:t>Manitol e solução salina</w:t>
      </w:r>
      <w:r w:rsidRPr="006F26A6">
        <w:rPr>
          <w:rFonts w:ascii="Arial" w:eastAsia="Arial" w:hAnsi="Arial" w:cs="Arial"/>
          <w:sz w:val="18"/>
          <w:szCs w:val="18"/>
        </w:rPr>
        <w:t xml:space="preserve"> hipertônica podem ser utilizados para auxiliar na redução do edema cerebral. Enquanto vitaminas do complexo B, C e E, além do dimetilsulfóxido podem ser utiliz</w:t>
      </w:r>
      <w:r w:rsidR="00902E42">
        <w:rPr>
          <w:rFonts w:ascii="Arial" w:eastAsia="Arial" w:hAnsi="Arial" w:cs="Arial"/>
          <w:sz w:val="18"/>
          <w:szCs w:val="18"/>
        </w:rPr>
        <w:t xml:space="preserve">ados como antioxidantes </w:t>
      </w:r>
      <w:r w:rsidR="00902E42">
        <w:rPr>
          <w:rFonts w:ascii="Arial" w:eastAsia="Arial" w:hAnsi="Arial" w:cs="Arial"/>
          <w:sz w:val="18"/>
          <w:szCs w:val="18"/>
          <w:vertAlign w:val="superscript"/>
        </w:rPr>
        <w:t>7</w:t>
      </w:r>
      <w:r w:rsidRPr="006F26A6">
        <w:rPr>
          <w:rFonts w:ascii="Arial" w:eastAsia="Arial" w:hAnsi="Arial" w:cs="Arial"/>
          <w:sz w:val="18"/>
          <w:szCs w:val="18"/>
        </w:rPr>
        <w:t>.</w:t>
      </w:r>
      <w:r w:rsidR="006771FE">
        <w:rPr>
          <w:rFonts w:ascii="Arial" w:eastAsia="Arial" w:hAnsi="Arial" w:cs="Arial"/>
          <w:sz w:val="18"/>
          <w:szCs w:val="18"/>
        </w:rPr>
        <w:t xml:space="preserve"> A </w:t>
      </w:r>
      <w:r w:rsidRPr="006F26A6">
        <w:rPr>
          <w:rFonts w:ascii="Arial" w:eastAsia="Arial" w:hAnsi="Arial" w:cs="Arial"/>
          <w:sz w:val="18"/>
          <w:szCs w:val="18"/>
        </w:rPr>
        <w:t>fluidoterapia</w:t>
      </w:r>
      <w:r w:rsidR="006771FE">
        <w:rPr>
          <w:rFonts w:ascii="Arial" w:eastAsia="Arial" w:hAnsi="Arial" w:cs="Arial"/>
          <w:sz w:val="18"/>
          <w:szCs w:val="18"/>
        </w:rPr>
        <w:t xml:space="preserve"> deve ser </w:t>
      </w:r>
      <w:r w:rsidRPr="006F26A6">
        <w:rPr>
          <w:rFonts w:ascii="Arial" w:eastAsia="Arial" w:hAnsi="Arial" w:cs="Arial"/>
          <w:sz w:val="18"/>
          <w:szCs w:val="18"/>
        </w:rPr>
        <w:t>baseada</w:t>
      </w:r>
      <w:r w:rsidR="006771FE">
        <w:rPr>
          <w:rFonts w:ascii="Arial" w:eastAsia="Arial" w:hAnsi="Arial" w:cs="Arial"/>
          <w:sz w:val="18"/>
          <w:szCs w:val="18"/>
        </w:rPr>
        <w:t xml:space="preserve"> nos </w:t>
      </w:r>
      <w:r w:rsidRPr="006F26A6">
        <w:rPr>
          <w:rFonts w:ascii="Arial" w:eastAsia="Arial" w:hAnsi="Arial" w:cs="Arial"/>
          <w:sz w:val="18"/>
          <w:szCs w:val="18"/>
        </w:rPr>
        <w:t xml:space="preserve">sinais clínicos e </w:t>
      </w:r>
      <w:r w:rsidR="006771FE">
        <w:rPr>
          <w:rFonts w:ascii="Arial" w:eastAsia="Arial" w:hAnsi="Arial" w:cs="Arial"/>
          <w:sz w:val="18"/>
          <w:szCs w:val="18"/>
        </w:rPr>
        <w:t xml:space="preserve">resultados da </w:t>
      </w:r>
      <w:r w:rsidRPr="006F26A6">
        <w:rPr>
          <w:rFonts w:ascii="Arial" w:eastAsia="Arial" w:hAnsi="Arial" w:cs="Arial"/>
          <w:sz w:val="18"/>
          <w:szCs w:val="18"/>
        </w:rPr>
        <w:t>hemogasometri</w:t>
      </w:r>
      <w:r w:rsidR="00902E42">
        <w:rPr>
          <w:rFonts w:ascii="Arial" w:eastAsia="Arial" w:hAnsi="Arial" w:cs="Arial"/>
          <w:sz w:val="18"/>
          <w:szCs w:val="18"/>
        </w:rPr>
        <w:t xml:space="preserve">a </w:t>
      </w:r>
      <w:r w:rsidR="00902E42">
        <w:rPr>
          <w:rFonts w:ascii="Arial" w:eastAsia="Arial" w:hAnsi="Arial" w:cs="Arial"/>
          <w:sz w:val="18"/>
          <w:szCs w:val="18"/>
          <w:vertAlign w:val="superscript"/>
        </w:rPr>
        <w:t>3</w:t>
      </w:r>
      <w:r w:rsidRPr="006F26A6">
        <w:rPr>
          <w:rFonts w:ascii="Arial" w:eastAsia="Arial" w:hAnsi="Arial" w:cs="Arial"/>
          <w:sz w:val="18"/>
          <w:szCs w:val="18"/>
        </w:rPr>
        <w:t xml:space="preserve">. Animais que se encontram anoréxicos, a alimentação forçada por intubação </w:t>
      </w:r>
      <w:r w:rsidR="006771FE" w:rsidRPr="006F26A6">
        <w:rPr>
          <w:rFonts w:ascii="Arial" w:eastAsia="Arial" w:hAnsi="Arial" w:cs="Arial"/>
          <w:sz w:val="18"/>
          <w:szCs w:val="18"/>
        </w:rPr>
        <w:t>nasogástrica</w:t>
      </w:r>
      <w:r w:rsidRPr="006F26A6">
        <w:rPr>
          <w:rFonts w:ascii="Arial" w:eastAsia="Arial" w:hAnsi="Arial" w:cs="Arial"/>
          <w:sz w:val="18"/>
          <w:szCs w:val="18"/>
        </w:rPr>
        <w:t xml:space="preserve"> deve ser considerada, porém, em situações que alimentação enteral não seja possível, esta deve ser </w:t>
      </w:r>
      <w:r w:rsidR="00902E42">
        <w:rPr>
          <w:rFonts w:ascii="Arial" w:eastAsia="Arial" w:hAnsi="Arial" w:cs="Arial"/>
          <w:sz w:val="18"/>
          <w:szCs w:val="18"/>
        </w:rPr>
        <w:t xml:space="preserve">feita de forma parenteral </w:t>
      </w:r>
      <w:r w:rsidR="00902E42">
        <w:rPr>
          <w:rFonts w:ascii="Arial" w:eastAsia="Arial" w:hAnsi="Arial" w:cs="Arial"/>
          <w:sz w:val="18"/>
          <w:szCs w:val="18"/>
          <w:vertAlign w:val="superscript"/>
        </w:rPr>
        <w:t>7</w:t>
      </w:r>
      <w:r w:rsidRPr="006F26A6">
        <w:rPr>
          <w:rFonts w:ascii="Arial" w:eastAsia="Arial" w:hAnsi="Arial" w:cs="Arial"/>
          <w:sz w:val="18"/>
          <w:szCs w:val="18"/>
        </w:rPr>
        <w:t xml:space="preserve">.    </w:t>
      </w:r>
    </w:p>
    <w:p w14:paraId="0AB58F78" w14:textId="5CD9DAD8" w:rsidR="006F26A6" w:rsidRPr="006F26A6" w:rsidRDefault="006F26A6" w:rsidP="006F26A6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 w:rsidRPr="006F26A6">
        <w:rPr>
          <w:rFonts w:ascii="Arial" w:eastAsia="Arial" w:hAnsi="Arial" w:cs="Arial"/>
          <w:sz w:val="18"/>
          <w:szCs w:val="18"/>
        </w:rPr>
        <w:t xml:space="preserve">Os animais que se mantém em estação e com apetite durante os primeiros três dias de tratamento, </w:t>
      </w:r>
      <w:r w:rsidR="00F340CB">
        <w:rPr>
          <w:rFonts w:ascii="Arial" w:eastAsia="Arial" w:hAnsi="Arial" w:cs="Arial"/>
          <w:sz w:val="18"/>
          <w:szCs w:val="18"/>
        </w:rPr>
        <w:t xml:space="preserve">tendem </w:t>
      </w:r>
      <w:r w:rsidRPr="006F26A6">
        <w:rPr>
          <w:rFonts w:ascii="Arial" w:eastAsia="Arial" w:hAnsi="Arial" w:cs="Arial"/>
          <w:sz w:val="18"/>
          <w:szCs w:val="18"/>
        </w:rPr>
        <w:t>a ter melhor prognóstico, enquanto os demais, que ficam grande parte do tempo em decúbito ou desenvolvem sinais clínicos de</w:t>
      </w:r>
      <w:r w:rsidR="00F340CB">
        <w:rPr>
          <w:rFonts w:ascii="Arial" w:eastAsia="Arial" w:hAnsi="Arial" w:cs="Arial"/>
          <w:sz w:val="18"/>
          <w:szCs w:val="18"/>
        </w:rPr>
        <w:t xml:space="preserve"> encefalopatia hepática difíceis </w:t>
      </w:r>
      <w:r w:rsidRPr="006F26A6">
        <w:rPr>
          <w:rFonts w:ascii="Arial" w:eastAsia="Arial" w:hAnsi="Arial" w:cs="Arial"/>
          <w:sz w:val="18"/>
          <w:szCs w:val="18"/>
        </w:rPr>
        <w:t>de se</w:t>
      </w:r>
      <w:r w:rsidR="00F340CB">
        <w:rPr>
          <w:rFonts w:ascii="Arial" w:eastAsia="Arial" w:hAnsi="Arial" w:cs="Arial"/>
          <w:sz w:val="18"/>
          <w:szCs w:val="18"/>
        </w:rPr>
        <w:t>rem controlados</w:t>
      </w:r>
      <w:r w:rsidRPr="006F26A6">
        <w:rPr>
          <w:rFonts w:ascii="Arial" w:eastAsia="Arial" w:hAnsi="Arial" w:cs="Arial"/>
          <w:sz w:val="18"/>
          <w:szCs w:val="18"/>
        </w:rPr>
        <w:t xml:space="preserve"> com sedativos, possuem maiores chances de</w:t>
      </w:r>
      <w:r w:rsidR="00C641E5">
        <w:rPr>
          <w:rFonts w:ascii="Arial" w:eastAsia="Arial" w:hAnsi="Arial" w:cs="Arial"/>
          <w:sz w:val="18"/>
          <w:szCs w:val="18"/>
        </w:rPr>
        <w:t xml:space="preserve"> </w:t>
      </w:r>
      <w:r w:rsidR="00902E42">
        <w:rPr>
          <w:rFonts w:ascii="Arial" w:eastAsia="Arial" w:hAnsi="Arial" w:cs="Arial"/>
          <w:sz w:val="18"/>
          <w:szCs w:val="18"/>
        </w:rPr>
        <w:t xml:space="preserve">óbito </w:t>
      </w:r>
      <w:r w:rsidR="00902E42">
        <w:rPr>
          <w:rFonts w:ascii="Arial" w:eastAsia="Arial" w:hAnsi="Arial" w:cs="Arial"/>
          <w:sz w:val="18"/>
          <w:szCs w:val="18"/>
          <w:vertAlign w:val="superscript"/>
        </w:rPr>
        <w:t>3</w:t>
      </w:r>
      <w:r w:rsidRPr="006F26A6">
        <w:rPr>
          <w:rFonts w:ascii="Arial" w:eastAsia="Arial" w:hAnsi="Arial" w:cs="Arial"/>
          <w:sz w:val="18"/>
          <w:szCs w:val="18"/>
        </w:rPr>
        <w:t>.</w:t>
      </w:r>
      <w:r w:rsidR="00C641E5">
        <w:rPr>
          <w:rFonts w:ascii="Arial" w:eastAsia="Arial" w:hAnsi="Arial" w:cs="Arial"/>
          <w:sz w:val="18"/>
          <w:szCs w:val="18"/>
        </w:rPr>
        <w:t xml:space="preserve"> </w:t>
      </w:r>
      <w:r w:rsidRPr="006F26A6">
        <w:rPr>
          <w:rFonts w:ascii="Arial" w:eastAsia="Arial" w:hAnsi="Arial" w:cs="Arial"/>
          <w:sz w:val="18"/>
          <w:szCs w:val="18"/>
        </w:rPr>
        <w:t>Animais que tiveram AST dosada acima de 4000 UI/L possuem um prognóstico desfavorável.</w:t>
      </w:r>
      <w:r w:rsidR="00C641E5">
        <w:rPr>
          <w:rFonts w:ascii="Arial" w:eastAsia="Arial" w:hAnsi="Arial" w:cs="Arial"/>
          <w:sz w:val="18"/>
          <w:szCs w:val="18"/>
        </w:rPr>
        <w:t xml:space="preserve"> </w:t>
      </w:r>
      <w:r w:rsidRPr="006F26A6">
        <w:rPr>
          <w:rFonts w:ascii="Arial" w:eastAsia="Arial" w:hAnsi="Arial" w:cs="Arial"/>
          <w:sz w:val="18"/>
          <w:szCs w:val="18"/>
        </w:rPr>
        <w:t>A</w:t>
      </w:r>
      <w:r w:rsidR="00C641E5">
        <w:rPr>
          <w:rFonts w:ascii="Arial" w:eastAsia="Arial" w:hAnsi="Arial" w:cs="Arial"/>
          <w:sz w:val="18"/>
          <w:szCs w:val="18"/>
        </w:rPr>
        <w:t xml:space="preserve"> </w:t>
      </w:r>
      <w:r w:rsidRPr="006F26A6">
        <w:rPr>
          <w:rFonts w:ascii="Arial" w:eastAsia="Arial" w:hAnsi="Arial" w:cs="Arial"/>
          <w:sz w:val="18"/>
          <w:szCs w:val="18"/>
        </w:rPr>
        <w:t>recuperação dos animais que sobrevivem ocorre entre 5 a 10 dias de tratamento, tendo estes</w:t>
      </w:r>
      <w:r w:rsidR="00902E42">
        <w:rPr>
          <w:rFonts w:ascii="Arial" w:eastAsia="Arial" w:hAnsi="Arial" w:cs="Arial"/>
          <w:sz w:val="18"/>
          <w:szCs w:val="18"/>
        </w:rPr>
        <w:t xml:space="preserve"> um bom prognóstico </w:t>
      </w:r>
      <w:r w:rsidR="00902E42">
        <w:rPr>
          <w:rFonts w:ascii="Arial" w:eastAsia="Arial" w:hAnsi="Arial" w:cs="Arial"/>
          <w:sz w:val="18"/>
          <w:szCs w:val="18"/>
          <w:vertAlign w:val="superscript"/>
        </w:rPr>
        <w:t>7</w:t>
      </w:r>
      <w:r w:rsidRPr="006F26A6">
        <w:rPr>
          <w:rFonts w:ascii="Arial" w:eastAsia="Arial" w:hAnsi="Arial" w:cs="Arial"/>
          <w:sz w:val="18"/>
          <w:szCs w:val="18"/>
        </w:rPr>
        <w:t xml:space="preserve">.    </w:t>
      </w:r>
    </w:p>
    <w:p w14:paraId="724DB327" w14:textId="11F6AFE1" w:rsidR="0071226F" w:rsidRDefault="006C356A" w:rsidP="006C356A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prevenção deve ser feita através da comercialização de</w:t>
      </w:r>
      <w:r w:rsidR="006F26A6" w:rsidRPr="006F26A6">
        <w:rPr>
          <w:rFonts w:ascii="Arial" w:eastAsia="Arial" w:hAnsi="Arial" w:cs="Arial"/>
          <w:sz w:val="18"/>
          <w:szCs w:val="18"/>
        </w:rPr>
        <w:t xml:space="preserve"> produtos de origem biológica equina li</w:t>
      </w:r>
      <w:r>
        <w:rPr>
          <w:rFonts w:ascii="Arial" w:eastAsia="Arial" w:hAnsi="Arial" w:cs="Arial"/>
          <w:sz w:val="18"/>
          <w:szCs w:val="18"/>
        </w:rPr>
        <w:t xml:space="preserve">vres deste patógeno, introdução de apenas animais negativos no rebanho e isolamento dos positivos </w:t>
      </w:r>
      <w:r w:rsidR="00902E42">
        <w:rPr>
          <w:rFonts w:ascii="Arial" w:eastAsia="Arial" w:hAnsi="Arial" w:cs="Arial"/>
          <w:sz w:val="18"/>
          <w:szCs w:val="18"/>
          <w:vertAlign w:val="superscript"/>
        </w:rPr>
        <w:t>6</w:t>
      </w:r>
      <w:r>
        <w:rPr>
          <w:rFonts w:ascii="Arial" w:eastAsia="Arial" w:hAnsi="Arial" w:cs="Arial"/>
          <w:sz w:val="18"/>
          <w:szCs w:val="18"/>
        </w:rPr>
        <w:t>.</w:t>
      </w:r>
      <w:r w:rsidR="006F26A6" w:rsidRPr="006F26A6">
        <w:rPr>
          <w:rFonts w:ascii="Arial" w:eastAsia="Arial" w:hAnsi="Arial" w:cs="Arial"/>
          <w:sz w:val="18"/>
          <w:szCs w:val="18"/>
        </w:rPr>
        <w:t xml:space="preserve"> </w:t>
      </w:r>
    </w:p>
    <w:p w14:paraId="1166FCD0" w14:textId="77777777" w:rsidR="00490F34" w:rsidRDefault="00490F34" w:rsidP="006C356A">
      <w:pPr>
        <w:spacing w:after="96"/>
        <w:jc w:val="both"/>
        <w:rPr>
          <w:rFonts w:ascii="Arial" w:eastAsia="Arial" w:hAnsi="Arial" w:cs="Arial"/>
          <w:sz w:val="18"/>
          <w:szCs w:val="18"/>
        </w:rPr>
      </w:pPr>
    </w:p>
    <w:p w14:paraId="29DEC0BA" w14:textId="77777777" w:rsidR="0071226F" w:rsidRDefault="004F2B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6194663A" w14:textId="373F9A93" w:rsidR="0071226F" w:rsidRDefault="006925E4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 w:rsidRPr="006925E4">
        <w:rPr>
          <w:rFonts w:ascii="Arial" w:eastAsia="Arial" w:hAnsi="Arial" w:cs="Arial"/>
          <w:sz w:val="18"/>
          <w:szCs w:val="18"/>
        </w:rPr>
        <w:t>Com a evolução dos testes de detecção de DNA, tem-se isolados diversos agentes virais do fígado</w:t>
      </w:r>
      <w:r w:rsidR="007C6D6A">
        <w:rPr>
          <w:rFonts w:ascii="Arial" w:eastAsia="Arial" w:hAnsi="Arial" w:cs="Arial"/>
          <w:sz w:val="18"/>
          <w:szCs w:val="18"/>
        </w:rPr>
        <w:t xml:space="preserve"> de equinos diagnosticados com D</w:t>
      </w:r>
      <w:r w:rsidRPr="006925E4">
        <w:rPr>
          <w:rFonts w:ascii="Arial" w:eastAsia="Arial" w:hAnsi="Arial" w:cs="Arial"/>
          <w:sz w:val="18"/>
          <w:szCs w:val="18"/>
        </w:rPr>
        <w:t>oença de Theiler, reforçando a hipótese de que a enfermidade seja causada por um agente infeccioso. Destes, o parvovírus equino, tem se mostrado o mais provável, sendo isolado em diversos animais que vieram a óbito em decorrência da doença, assim como em produtos de origem biológica equina que foram apontados como causadores desta. No</w:t>
      </w:r>
      <w:r w:rsidR="00F340CB">
        <w:rPr>
          <w:rFonts w:ascii="Arial" w:eastAsia="Arial" w:hAnsi="Arial" w:cs="Arial"/>
          <w:sz w:val="18"/>
          <w:szCs w:val="18"/>
        </w:rPr>
        <w:t xml:space="preserve"> Brasil</w:t>
      </w:r>
      <w:r w:rsidRPr="006925E4">
        <w:rPr>
          <w:rFonts w:ascii="Arial" w:eastAsia="Arial" w:hAnsi="Arial" w:cs="Arial"/>
          <w:sz w:val="18"/>
          <w:szCs w:val="18"/>
        </w:rPr>
        <w:t>, são raros os relatos e não há evidencias de que indiquem a circulação do vírus no país, sendo necessário realizar estudos mais aprofundados a fim de descobrir a sua verdadeira situação epidemiológica.</w:t>
      </w:r>
    </w:p>
    <w:p w14:paraId="6E286EBD" w14:textId="77777777" w:rsidR="00650BE4" w:rsidRDefault="00650BE4">
      <w:pPr>
        <w:spacing w:after="96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25C33B6C" w14:textId="77777777" w:rsidR="00650BE4" w:rsidRPr="00650BE4" w:rsidRDefault="00650BE4" w:rsidP="00650BE4">
      <w:pPr>
        <w:spacing w:after="96"/>
        <w:jc w:val="center"/>
        <w:rPr>
          <w:rFonts w:ascii="Arial" w:eastAsia="Arial" w:hAnsi="Arial" w:cs="Arial"/>
          <w:sz w:val="18"/>
          <w:szCs w:val="18"/>
        </w:rPr>
      </w:pPr>
    </w:p>
    <w:p w14:paraId="4DCB5E1C" w14:textId="77777777" w:rsidR="00650BE4" w:rsidRPr="00650BE4" w:rsidRDefault="00650BE4" w:rsidP="00650BE4">
      <w:pPr>
        <w:spacing w:after="96"/>
        <w:jc w:val="center"/>
        <w:rPr>
          <w:rFonts w:ascii="Arial" w:eastAsia="Arial" w:hAnsi="Arial" w:cs="Arial"/>
          <w:sz w:val="18"/>
          <w:szCs w:val="18"/>
        </w:rPr>
      </w:pPr>
    </w:p>
    <w:p w14:paraId="0DE63F64" w14:textId="77777777" w:rsidR="00650BE4" w:rsidRPr="00650BE4" w:rsidRDefault="00650BE4" w:rsidP="00650BE4">
      <w:pPr>
        <w:spacing w:after="96"/>
        <w:jc w:val="center"/>
        <w:rPr>
          <w:rFonts w:ascii="Arial" w:eastAsia="Arial" w:hAnsi="Arial" w:cs="Arial"/>
          <w:sz w:val="18"/>
          <w:szCs w:val="18"/>
        </w:rPr>
      </w:pPr>
    </w:p>
    <w:p w14:paraId="551A87A3" w14:textId="77777777" w:rsidR="0071226F" w:rsidRDefault="0071226F">
      <w:pPr>
        <w:rPr>
          <w:rFonts w:ascii="Arial" w:eastAsia="Arial" w:hAnsi="Arial" w:cs="Arial"/>
          <w:b/>
          <w:sz w:val="14"/>
          <w:szCs w:val="14"/>
        </w:rPr>
      </w:pPr>
    </w:p>
    <w:sectPr w:rsidR="0071226F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9A8EC" w14:textId="77777777" w:rsidR="000E2B84" w:rsidRDefault="000E2B84">
      <w:r>
        <w:separator/>
      </w:r>
    </w:p>
  </w:endnote>
  <w:endnote w:type="continuationSeparator" w:id="0">
    <w:p w14:paraId="0769ABB6" w14:textId="77777777" w:rsidR="000E2B84" w:rsidRDefault="000E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EED76" w14:textId="77777777" w:rsidR="000E2B84" w:rsidRDefault="000E2B84">
      <w:r>
        <w:separator/>
      </w:r>
    </w:p>
  </w:footnote>
  <w:footnote w:type="continuationSeparator" w:id="0">
    <w:p w14:paraId="3855AD8A" w14:textId="77777777" w:rsidR="000E2B84" w:rsidRDefault="000E2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9ED52" w14:textId="77777777" w:rsidR="00164637" w:rsidRDefault="001646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86FA812" wp14:editId="4E8F9AE5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5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820F4D" w14:textId="77777777" w:rsidR="00164637" w:rsidRDefault="00164637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6F"/>
    <w:rsid w:val="000507B6"/>
    <w:rsid w:val="000579A3"/>
    <w:rsid w:val="000D3F56"/>
    <w:rsid w:val="000E2B84"/>
    <w:rsid w:val="00101BE1"/>
    <w:rsid w:val="00133B7C"/>
    <w:rsid w:val="00147633"/>
    <w:rsid w:val="00164637"/>
    <w:rsid w:val="002151DE"/>
    <w:rsid w:val="002673F1"/>
    <w:rsid w:val="002824DB"/>
    <w:rsid w:val="00297AFD"/>
    <w:rsid w:val="00373C81"/>
    <w:rsid w:val="003D0491"/>
    <w:rsid w:val="004419DD"/>
    <w:rsid w:val="00445A39"/>
    <w:rsid w:val="00490F34"/>
    <w:rsid w:val="004F2BFB"/>
    <w:rsid w:val="00566F9D"/>
    <w:rsid w:val="005B363E"/>
    <w:rsid w:val="005D5D7B"/>
    <w:rsid w:val="005F4AFD"/>
    <w:rsid w:val="00650BE4"/>
    <w:rsid w:val="006771FE"/>
    <w:rsid w:val="006925E4"/>
    <w:rsid w:val="006C356A"/>
    <w:rsid w:val="006F26A6"/>
    <w:rsid w:val="007035CC"/>
    <w:rsid w:val="0071226F"/>
    <w:rsid w:val="00772A57"/>
    <w:rsid w:val="007774D3"/>
    <w:rsid w:val="007C6D6A"/>
    <w:rsid w:val="00837A86"/>
    <w:rsid w:val="0090171B"/>
    <w:rsid w:val="00902E42"/>
    <w:rsid w:val="00924801"/>
    <w:rsid w:val="00942C17"/>
    <w:rsid w:val="0097734D"/>
    <w:rsid w:val="00985546"/>
    <w:rsid w:val="009A4433"/>
    <w:rsid w:val="00A4258C"/>
    <w:rsid w:val="00A67741"/>
    <w:rsid w:val="00A70913"/>
    <w:rsid w:val="00AC4CF1"/>
    <w:rsid w:val="00AF46BC"/>
    <w:rsid w:val="00B37339"/>
    <w:rsid w:val="00BD590E"/>
    <w:rsid w:val="00BE77ED"/>
    <w:rsid w:val="00C35F9F"/>
    <w:rsid w:val="00C641E5"/>
    <w:rsid w:val="00C66F82"/>
    <w:rsid w:val="00C67E5D"/>
    <w:rsid w:val="00CA4044"/>
    <w:rsid w:val="00CB09D6"/>
    <w:rsid w:val="00D21A90"/>
    <w:rsid w:val="00D5250C"/>
    <w:rsid w:val="00DE4FB9"/>
    <w:rsid w:val="00DF38F0"/>
    <w:rsid w:val="00E53DA1"/>
    <w:rsid w:val="00E54E63"/>
    <w:rsid w:val="00E87494"/>
    <w:rsid w:val="00EA2F6C"/>
    <w:rsid w:val="00F340CB"/>
    <w:rsid w:val="00F513F7"/>
    <w:rsid w:val="00F7795C"/>
    <w:rsid w:val="00F93915"/>
    <w:rsid w:val="00FA720D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A686"/>
  <w15:docId w15:val="{9A05BCF3-7364-43BD-9BFB-081D381A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38F0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38F0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m/8cScB48tZhLgLWMgch8jvFg==">AMUW2mX5JhCPb6WFzexQzJCnot3eSTrrgnKLjRBsAYwMidyZA0X/zNLwvO+131dMK2qdaAesQPUv1jSvbA5Qc2Fa5mGGAJYDEVhLPFwljHWzEZKR1ne6GLEVHZw0n+pXGBhOS8CLK/OU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1091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Andre Luis</cp:lastModifiedBy>
  <cp:revision>2</cp:revision>
  <dcterms:created xsi:type="dcterms:W3CDTF">2021-05-21T16:39:00Z</dcterms:created>
  <dcterms:modified xsi:type="dcterms:W3CDTF">2021-05-21T16:39:00Z</dcterms:modified>
</cp:coreProperties>
</file>