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OPÇÕES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TERAPÊUTICAS PARA MEGAESÔFAGO EM CÃES: Uma Revisão</w:t>
      </w:r>
    </w:p>
    <w:p w:rsidR="00000000" w:rsidDel="00000000" w:rsidP="00000000" w:rsidRDefault="00000000" w:rsidRPr="00000000" w14:paraId="00000002">
      <w:pPr>
        <w:spacing w:after="40" w:before="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before="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 Luísa Mota Ribeiro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*, Millena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Nunes Fonseca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Natália dos Anjos Pinto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Hélida Vanessa Heleno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Jessica Oliveira Pereira da Cruz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Mateus Ferreira de Sousa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Fabíola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de Oliveira Paes Leme</w:t>
      </w:r>
      <w:r w:rsidDel="00000000" w:rsidR="00000000" w:rsidRPr="00000000">
        <w:rPr>
          <w:rFonts w:ascii="Arial" w:cs="Arial" w:eastAsia="Arial" w:hAnsi="Arial"/>
          <w:b w:val="1"/>
          <w:color w:val="4d5156"/>
          <w:sz w:val="21"/>
          <w:szCs w:val="21"/>
          <w:rtl w:val="0"/>
        </w:rPr>
        <w:t xml:space="preserve">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before="40" w:lineRule="auto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Graduando em Medicina Veterinária – UFMG – Belo Horizonte/MG – Brasil – *Contato: anamota@vetufmg.edu.br</w:t>
      </w:r>
    </w:p>
    <w:p w:rsidR="00000000" w:rsidDel="00000000" w:rsidP="00000000" w:rsidRDefault="00000000" w:rsidRPr="00000000" w14:paraId="00000005">
      <w:pPr>
        <w:spacing w:after="40" w:before="40" w:lineRule="auto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Graduanda em Medicina Veterinária – UniBH – Belo Horizonte/MG – Brasil</w:t>
      </w:r>
    </w:p>
    <w:p w:rsidR="00000000" w:rsidDel="00000000" w:rsidP="00000000" w:rsidRDefault="00000000" w:rsidRPr="00000000" w14:paraId="00000006">
      <w:pPr>
        <w:tabs>
          <w:tab w:val="center" w:pos="5528"/>
        </w:tabs>
        <w:spacing w:after="40" w:before="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ab/>
        <w:t xml:space="preserve">3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Médica Veterinária Autônoma - CRMV-MG - 23953</w:t>
      </w:r>
    </w:p>
    <w:p w:rsidR="00000000" w:rsidDel="00000000" w:rsidP="00000000" w:rsidRDefault="00000000" w:rsidRPr="00000000" w14:paraId="00000007">
      <w:pPr>
        <w:tabs>
          <w:tab w:val="center" w:pos="5528"/>
        </w:tabs>
        <w:spacing w:after="40" w:before="40" w:lineRule="auto"/>
        <w:jc w:val="center"/>
        <w:rPr>
          <w:rFonts w:ascii="Arial" w:cs="Arial" w:eastAsia="Arial" w:hAnsi="Arial"/>
          <w:b w:val="1"/>
          <w:sz w:val="18"/>
          <w:szCs w:val="18"/>
        </w:rPr>
        <w:sectPr>
          <w:headerReference r:id="rId7" w:type="default"/>
          <w:pgSz w:h="16838" w:w="11906" w:orient="portrait"/>
          <w:pgMar w:bottom="720.0000000000001" w:top="720.0000000000001" w:left="425.1968503937008" w:right="425.1968503937008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4d5156"/>
          <w:sz w:val="14"/>
          <w:szCs w:val="14"/>
          <w:rtl w:val="0"/>
        </w:rPr>
        <w:t xml:space="preserve">⁴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Professora de Medicina Veterinária – UFMG – Belo Horizonte/MG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spacing w:after="20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megaesôfago é uma síndrome em que o lúmen esofágico encontra-se com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antonia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dilatação e flacidez decorrentes de distúrbios do peristaltismo por disfunção motora segmentar ou difusa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Essa alteração faz com que o bolo alimentar não seja devidamente propulsionado para o estômago, acumulando restos de alimento no esôfago. Em cães, o megaesôfago pode ser congênito ou adquirido, sendo o congênito idiopático a forma mais comum. Além disso, pode ser decorrente de obstrução por corpo estranho e neoplasias, da persistência do arco aórtico,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miastenia gravis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de tripanossomose, entre outras causas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⁴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Durante muito tempo, se considerou que o megaesôfago, em especial na sua forma idiopática congênita, não tinha tratamentos disponíveis e que o prognóstico seria sempre reservado,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eutanásia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indicada com frequência. Além disso, os animais com quadros de pneumonia aspirativa tinham uma sobrevida extremamente curta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⁵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Assim, o trabalho tem por objetivo levantar as opções terapêuticas que possam mudar o prognóstico e dar qualidade de vida aos animais com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megaesôfago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megaesôfago predispõe o animal à esofagite, à regurgitação, à perfuração esofágica e, como afecção secundária mais comum, à pneumonia por aspiração. A presença desse quadro torna o prognóstico reservado, com sobrevida estimada em até três meses após o diagnóstico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⁵</w:t>
      </w: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Além da sintomatologia clínica, que inclui os achados descritos, são utilizados exames de imagem para diagnosticar o megaesôfago, assim, são empregadas radiografias torácicas (Fig. 1) em dois planos, lateral e ventrodorsal. Sendo possível observar um esôfago dilatado contendo comida, líquido ou ar, além de se avaliar os pulmões e se já existe pneumonia aspirativa instalada. Após diagnosticar a afecção e a possível etiologia, deve-se estabelecer se existem comorbidades e instaurar um tratamento adequado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</w:rPr>
        <w:drawing>
          <wp:inline distB="114300" distT="114300" distL="114300" distR="114300">
            <wp:extent cx="3286125" cy="200660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before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Figura 1. A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 Radiografia lateral de um cão com o esôfago dilatado, causando o deslocamento ventral da traquéia e coração e lobo médio direito do pulmão com padrão alveolar indicativo de pneumonia aspirativa.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Projeção ventrodorsal do mesmo cão, aumentado de volume das bordas do esôfago até o esfíncter esofágico caudal (setas brancas)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6" w:before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9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a revisão foram usados dois livros e artigos do Journal of Veterinary Medical Science, Journal of Veterinary Emergency and Critical Care, Taiwan Veterinary Journal, Canadian Veterinary. Journal 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  Revista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 Colégio Brasileiro de Cirurgiões.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terapia varia de acordo com a etiologia da afecção. Caso seja adquirido, deve-se retirar a causa base. E, em pacientes com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miastenia gravis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pode-se utilizar terapia anticolinesterásica. Durante muito tempo, se considerou que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a forma congênita idiopática não tinha tratamentos disponíveis, tendo sido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eutanásia indicada com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frequência.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before="20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Independente da etiologia, o manejo nutricional é fundamental para garantir que os pacientes tenham ingestão calórica adequada e que a regurgitação seja minimizada. Nesse sentido, ao alimentar os cães por via oral, deve-se elevar o comedouro, para evitar que abaixem a cabeça, assim, a força da gravidade auxiliará no avanço do alimento até o estômago. No período pós prandial, os proprietários devem se certificar que os cães permaneçam pelo menos 20 minutos sem se deitar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18"/>
          <w:szCs w:val="18"/>
          <w:highlight w:val="white"/>
          <w:rtl w:val="0"/>
        </w:rPr>
        <w:t xml:space="preserve">⁶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Atualmente, é possível encontrar cadeiras de alimentação que auxiliam nessa tarefa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⁷</w:t>
      </w: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cães com esofagite e regurgitação frequente, uma sonda de gastrostomia percutânea pode ser colocada para evitar que a ingesta passe pelo esôfago. Outra opção, a fim de evitar peritonite, é o uso de uma sonda transesofágica-gástrica para suporte nutricional e o emprego de um tubo de esofagostomia para drenagem do fluido esofágico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18"/>
          <w:szCs w:val="18"/>
          <w:highlight w:val="white"/>
          <w:rtl w:val="0"/>
        </w:rPr>
        <w:t xml:space="preserve">⁶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Se tratando da forma idiopática, a administração exógena de uma droga colinérgica pode auxiliar no tratamento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Além disso, em cães com nutrição por meio de sonda, mas com persistência de regurgitação, a administração de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citrato de sildenafila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se mostrou efetiva, ao reduzir o tônus ​​do esfíncter esofágico inferior e facilitar o esvaziamento do esôfago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⁷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Assim, acredita-se que este efeito possa melhorar a regurgitação persistente após o uso de alimentação por sonda diretamente no estômago.</w:t>
      </w:r>
    </w:p>
    <w:p w:rsidR="00000000" w:rsidDel="00000000" w:rsidP="00000000" w:rsidRDefault="00000000" w:rsidRPr="00000000" w14:paraId="00000017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Outra opção, seria o tratamento cirúrgico,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existem algumas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técnicas, mas atualmente, considera-se a esofagocardiomiotomia como tratamento padrão. Nela faz-se uma incisão na musculatura caudal do esôfago e cranial ao estômago, em seguida, é feita uma sutura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 mucosa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reduzindo o lúmen esofágico. O emprego da videolaparoscopia tem facilitado a execução dessas cirurgias</w:t>
      </w:r>
      <w:r w:rsidDel="00000000" w:rsidR="00000000" w:rsidRPr="00000000">
        <w:rPr>
          <w:rFonts w:ascii="Arial" w:cs="Arial" w:eastAsia="Arial" w:hAnsi="Arial"/>
          <w:color w:val="4d5156"/>
          <w:sz w:val="18"/>
          <w:szCs w:val="18"/>
          <w:highlight w:val="white"/>
          <w:rtl w:val="0"/>
        </w:rPr>
        <w:t xml:space="preserve">¹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after="40" w:before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spacing w:after="40" w:before="40" w:lineRule="auto"/>
        <w:jc w:val="both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últimas  décadas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opções terapêuticas para cães com megaesôfago foram ampliadas, fazendo com que o prognóstico da doença melhorasse, mesmo nos quadros que cursam com pneumonia aspirativa. Entretanto, para adoção de condutas mais adequadas, o diagnóstico precoce é fundamental, assegurando maior e melhor qualidade de vida aos portadores de megaesôfago.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VII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9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 Rounded" w:cs="Arial Rounded" w:eastAsia="Arial Rounded" w:hAnsi="Arial Rounded"/>
        <w:b w:val="1"/>
        <w:color w:val="002060"/>
        <w:sz w:val="16"/>
        <w:szCs w:val="16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46A45"/>
    <w:pPr>
      <w:jc w:val="left"/>
    </w:pPr>
    <w:rPr>
      <w:b w:val="1"/>
      <w:bCs w:val="1"/>
      <w:color w:val="auto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46A45"/>
    <w:rPr>
      <w:rFonts w:ascii="Times New Roman" w:cs="Times New Roman" w:eastAsia="Times New Roman" w:hAnsi="Times New Roman"/>
      <w:b w:val="1"/>
      <w:bCs w:val="1"/>
      <w:color w:val="ff0000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MLmTctteSopUYnVw/4oHIejYA==">AMUW2mXhbCbDVGj9Q8XwimWvFZvqqxPe4tTuebAIiawDxOmOOhZrcq6vEn2/T/9tt+oDGfdZlaYpGqjvMADql7BUqwA2bBHBT6Hh+ujQw3U9Im7PvPV1Dkf2nT2PtYsy5acJwo3C8SgY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2021-04-26T14:48:00Z</dcterms:created>
  <dc:creator>Pri Sadanã</dc:creator>
</cp:coreProperties>
</file>