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320E" w14:textId="77777777" w:rsidR="007800CD" w:rsidRDefault="003F595F">
      <w:pPr>
        <w:pBdr>
          <w:bottom w:val="single" w:sz="4" w:space="1" w:color="000000"/>
        </w:pBdr>
        <w:jc w:val="center"/>
        <w:rPr>
          <w:rFonts w:ascii="Arial" w:eastAsia="Arial" w:hAnsi="Arial" w:cs="Arial"/>
          <w:b/>
          <w:smallCaps/>
          <w:sz w:val="22"/>
          <w:szCs w:val="22"/>
        </w:rPr>
      </w:pPr>
      <w:r>
        <w:rPr>
          <w:rFonts w:ascii="Arial" w:eastAsia="Arial" w:hAnsi="Arial" w:cs="Arial"/>
          <w:b/>
          <w:smallCaps/>
          <w:sz w:val="22"/>
          <w:szCs w:val="22"/>
        </w:rPr>
        <w:t>SÍNDROME NEFRÓTICA SECUNDÁRIA À LEISHMANIOSE VISCERAL CANINA EM PINSCHER ADULTO: RELATO DE CASO</w:t>
      </w:r>
    </w:p>
    <w:p w14:paraId="1A73150F" w14:textId="5D797C48" w:rsidR="007800CD" w:rsidRDefault="003F595F">
      <w:pPr>
        <w:pBdr>
          <w:top w:val="nil"/>
          <w:left w:val="nil"/>
          <w:bottom w:val="nil"/>
          <w:right w:val="nil"/>
          <w:between w:val="nil"/>
        </w:pBdr>
        <w:jc w:val="center"/>
        <w:rPr>
          <w:rFonts w:ascii="Arial" w:eastAsia="Arial" w:hAnsi="Arial" w:cs="Arial"/>
          <w:b/>
        </w:rPr>
      </w:pPr>
      <w:r>
        <w:rPr>
          <w:rFonts w:ascii="Arial" w:eastAsia="Arial" w:hAnsi="Arial" w:cs="Arial"/>
          <w:b/>
        </w:rPr>
        <w:t>Felipe Madureira Chagas</w:t>
      </w:r>
      <w:r>
        <w:rPr>
          <w:rFonts w:ascii="Arial" w:eastAsia="Arial" w:hAnsi="Arial" w:cs="Arial"/>
          <w:b/>
          <w:vertAlign w:val="superscript"/>
        </w:rPr>
        <w:t>1</w:t>
      </w:r>
      <w:r>
        <w:rPr>
          <w:rFonts w:ascii="Arial" w:eastAsia="Arial" w:hAnsi="Arial" w:cs="Arial"/>
          <w:b/>
        </w:rPr>
        <w:t>*, Amanda Oliveira</w:t>
      </w:r>
      <w:r w:rsidR="00215872">
        <w:rPr>
          <w:rFonts w:ascii="Arial" w:eastAsia="Arial" w:hAnsi="Arial" w:cs="Arial"/>
          <w:b/>
        </w:rPr>
        <w:t xml:space="preserve"> Santos Silva</w:t>
      </w:r>
      <w:r>
        <w:rPr>
          <w:rFonts w:ascii="Arial" w:eastAsia="Arial" w:hAnsi="Arial" w:cs="Arial"/>
          <w:b/>
          <w:vertAlign w:val="superscript"/>
        </w:rPr>
        <w:t>1</w:t>
      </w:r>
      <w:r>
        <w:rPr>
          <w:rFonts w:ascii="Arial" w:eastAsia="Arial" w:hAnsi="Arial" w:cs="Arial"/>
          <w:b/>
        </w:rPr>
        <w:t>, Juliana Aires Favato², Ana Clara Moreira Pessôa², Lívia Geraldi Ferreira</w:t>
      </w:r>
      <w:r>
        <w:rPr>
          <w:rFonts w:ascii="Arial" w:eastAsia="Arial" w:hAnsi="Arial" w:cs="Arial"/>
          <w:b/>
          <w:vertAlign w:val="superscript"/>
        </w:rPr>
        <w:t>3</w:t>
      </w:r>
      <w:r>
        <w:rPr>
          <w:rFonts w:ascii="Arial" w:eastAsia="Arial" w:hAnsi="Arial" w:cs="Arial"/>
          <w:b/>
        </w:rPr>
        <w:t>.</w:t>
      </w:r>
    </w:p>
    <w:p w14:paraId="4BFBAF59" w14:textId="77777777" w:rsidR="007800CD" w:rsidRDefault="003F595F" w:rsidP="00D87322">
      <w:pPr>
        <w:jc w:val="center"/>
        <w:rPr>
          <w:rFonts w:ascii="Arial" w:eastAsia="Arial" w:hAnsi="Arial" w:cs="Arial"/>
          <w:i/>
          <w:sz w:val="14"/>
          <w:szCs w:val="14"/>
        </w:rPr>
      </w:pPr>
      <w:r>
        <w:rPr>
          <w:rFonts w:ascii="Arial" w:eastAsia="Arial" w:hAnsi="Arial" w:cs="Arial"/>
          <w:i/>
          <w:sz w:val="14"/>
          <w:szCs w:val="14"/>
          <w:vertAlign w:val="superscript"/>
        </w:rPr>
        <w:t>1</w:t>
      </w:r>
      <w:r>
        <w:rPr>
          <w:rFonts w:ascii="Arial" w:eastAsia="Arial" w:hAnsi="Arial" w:cs="Arial"/>
          <w:i/>
          <w:sz w:val="14"/>
          <w:szCs w:val="14"/>
        </w:rPr>
        <w:t xml:space="preserve">Graduando em Medicina Veterinária – </w:t>
      </w:r>
      <w:proofErr w:type="spellStart"/>
      <w:r>
        <w:rPr>
          <w:rFonts w:ascii="Arial" w:eastAsia="Arial" w:hAnsi="Arial" w:cs="Arial"/>
          <w:i/>
          <w:sz w:val="14"/>
          <w:szCs w:val="14"/>
        </w:rPr>
        <w:t>UniBH</w:t>
      </w:r>
      <w:proofErr w:type="spellEnd"/>
      <w:r>
        <w:rPr>
          <w:rFonts w:ascii="Arial" w:eastAsia="Arial" w:hAnsi="Arial" w:cs="Arial"/>
          <w:i/>
          <w:sz w:val="14"/>
          <w:szCs w:val="14"/>
        </w:rPr>
        <w:t xml:space="preserve"> – Belo Horizonte/MG – Brasil – *Contato: felipemadureirachagas@outlook.com</w:t>
      </w:r>
    </w:p>
    <w:p w14:paraId="1182CD70" w14:textId="77777777" w:rsidR="007800CD" w:rsidRDefault="003F595F" w:rsidP="00D87322">
      <w:pPr>
        <w:jc w:val="center"/>
        <w:rPr>
          <w:rFonts w:ascii="Arial" w:eastAsia="Arial" w:hAnsi="Arial" w:cs="Arial"/>
          <w:i/>
          <w:sz w:val="14"/>
          <w:szCs w:val="14"/>
        </w:rPr>
      </w:pPr>
      <w:r>
        <w:rPr>
          <w:rFonts w:ascii="Arial" w:eastAsia="Arial" w:hAnsi="Arial" w:cs="Arial"/>
          <w:i/>
          <w:sz w:val="14"/>
          <w:szCs w:val="14"/>
          <w:vertAlign w:val="superscript"/>
        </w:rPr>
        <w:t>2</w:t>
      </w:r>
      <w:r>
        <w:rPr>
          <w:rFonts w:ascii="Arial" w:eastAsia="Arial" w:hAnsi="Arial" w:cs="Arial"/>
          <w:i/>
          <w:sz w:val="14"/>
          <w:szCs w:val="14"/>
        </w:rPr>
        <w:t xml:space="preserve">Médica Veterinária (Clínica Veterinária </w:t>
      </w:r>
      <w:proofErr w:type="spellStart"/>
      <w:r>
        <w:rPr>
          <w:rFonts w:ascii="Arial" w:eastAsia="Arial" w:hAnsi="Arial" w:cs="Arial"/>
          <w:i/>
          <w:sz w:val="14"/>
          <w:szCs w:val="14"/>
        </w:rPr>
        <w:t>Medvet</w:t>
      </w:r>
      <w:proofErr w:type="spellEnd"/>
      <w:r>
        <w:rPr>
          <w:rFonts w:ascii="Arial" w:eastAsia="Arial" w:hAnsi="Arial" w:cs="Arial"/>
          <w:i/>
          <w:sz w:val="14"/>
          <w:szCs w:val="14"/>
        </w:rPr>
        <w:t>)</w:t>
      </w:r>
    </w:p>
    <w:p w14:paraId="62100EF0" w14:textId="0F2A21BF" w:rsidR="007800CD" w:rsidRDefault="003F595F" w:rsidP="00D87322">
      <w:pPr>
        <w:tabs>
          <w:tab w:val="center" w:pos="5528"/>
        </w:tabs>
        <w:jc w:val="center"/>
        <w:rPr>
          <w:rFonts w:ascii="Arial" w:eastAsia="Arial" w:hAnsi="Arial" w:cs="Arial"/>
          <w:i/>
          <w:sz w:val="14"/>
          <w:szCs w:val="14"/>
          <w:vertAlign w:val="superscript"/>
        </w:rPr>
        <w:sectPr w:rsidR="007800CD">
          <w:headerReference w:type="default" r:id="rId7"/>
          <w:pgSz w:w="11906" w:h="16838"/>
          <w:pgMar w:top="1560" w:right="424" w:bottom="720" w:left="426" w:header="426" w:footer="708" w:gutter="0"/>
          <w:pgNumType w:start="1"/>
          <w:cols w:space="720"/>
        </w:sectPr>
      </w:pPr>
      <w:r>
        <w:rPr>
          <w:rFonts w:ascii="Arial" w:eastAsia="Arial" w:hAnsi="Arial" w:cs="Arial"/>
          <w:i/>
          <w:sz w:val="14"/>
          <w:szCs w:val="14"/>
          <w:vertAlign w:val="superscript"/>
        </w:rPr>
        <w:t>3</w:t>
      </w:r>
      <w:r>
        <w:rPr>
          <w:rFonts w:ascii="Arial" w:eastAsia="Arial" w:hAnsi="Arial" w:cs="Arial"/>
          <w:i/>
          <w:sz w:val="14"/>
          <w:szCs w:val="14"/>
        </w:rPr>
        <w:t xml:space="preserve">Professor de Medicina Veterinária – </w:t>
      </w:r>
      <w:proofErr w:type="spellStart"/>
      <w:r>
        <w:rPr>
          <w:rFonts w:ascii="Arial" w:eastAsia="Arial" w:hAnsi="Arial" w:cs="Arial"/>
          <w:i/>
          <w:sz w:val="14"/>
          <w:szCs w:val="14"/>
        </w:rPr>
        <w:t>UniBH</w:t>
      </w:r>
      <w:proofErr w:type="spellEnd"/>
      <w:r>
        <w:rPr>
          <w:rFonts w:ascii="Arial" w:eastAsia="Arial" w:hAnsi="Arial" w:cs="Arial"/>
          <w:i/>
          <w:sz w:val="14"/>
          <w:szCs w:val="14"/>
        </w:rPr>
        <w:t xml:space="preserve"> – Belo Horizonte/MG – Brasil</w:t>
      </w:r>
    </w:p>
    <w:p w14:paraId="1D19F172" w14:textId="77777777" w:rsidR="007800CD" w:rsidRDefault="003F595F" w:rsidP="00D87322">
      <w:pPr>
        <w:pBdr>
          <w:top w:val="nil"/>
          <w:left w:val="nil"/>
          <w:bottom w:val="single" w:sz="4" w:space="1" w:color="000000"/>
          <w:right w:val="nil"/>
          <w:between w:val="nil"/>
        </w:pBdr>
        <w:spacing w:after="40"/>
        <w:jc w:val="both"/>
        <w:rPr>
          <w:rFonts w:ascii="Arial" w:eastAsia="Arial" w:hAnsi="Arial" w:cs="Arial"/>
          <w:b/>
          <w:sz w:val="18"/>
          <w:szCs w:val="18"/>
        </w:rPr>
      </w:pPr>
      <w:bookmarkStart w:id="0" w:name="_heading=h.gjdgxs" w:colFirst="0" w:colLast="0"/>
      <w:bookmarkEnd w:id="0"/>
      <w:r>
        <w:rPr>
          <w:rFonts w:ascii="Arial" w:eastAsia="Arial" w:hAnsi="Arial" w:cs="Arial"/>
          <w:b/>
          <w:sz w:val="18"/>
          <w:szCs w:val="18"/>
        </w:rPr>
        <w:t>INTRODUÇÃO</w:t>
      </w:r>
    </w:p>
    <w:p w14:paraId="0750573E" w14:textId="16508906" w:rsidR="007800CD" w:rsidRDefault="003F595F" w:rsidP="00D87322">
      <w:pPr>
        <w:jc w:val="both"/>
        <w:rPr>
          <w:rFonts w:ascii="Arial" w:eastAsia="Arial" w:hAnsi="Arial" w:cs="Arial"/>
          <w:sz w:val="18"/>
          <w:szCs w:val="18"/>
        </w:rPr>
      </w:pPr>
      <w:r>
        <w:rPr>
          <w:rFonts w:ascii="Arial" w:eastAsia="Arial" w:hAnsi="Arial" w:cs="Arial"/>
          <w:sz w:val="18"/>
          <w:szCs w:val="18"/>
        </w:rPr>
        <w:t xml:space="preserve">A síndrome nefrótica (SN) é um conjunto de sinais clínicos e achados laboratoriais resultantes de uma </w:t>
      </w:r>
      <w:proofErr w:type="spellStart"/>
      <w:r>
        <w:rPr>
          <w:rFonts w:ascii="Arial" w:eastAsia="Arial" w:hAnsi="Arial" w:cs="Arial"/>
          <w:sz w:val="18"/>
          <w:szCs w:val="18"/>
        </w:rPr>
        <w:t>glomerulopatia</w:t>
      </w:r>
      <w:proofErr w:type="spellEnd"/>
      <w:r w:rsidR="00FE537F">
        <w:rPr>
          <w:rFonts w:ascii="Arial" w:eastAsia="Arial" w:hAnsi="Arial" w:cs="Arial"/>
          <w:sz w:val="18"/>
          <w:szCs w:val="18"/>
        </w:rPr>
        <w:t xml:space="preserve"> </w:t>
      </w:r>
      <w:r w:rsidR="00FE537F">
        <w:rPr>
          <w:rFonts w:ascii="Arial" w:eastAsia="Arial" w:hAnsi="Arial" w:cs="Arial"/>
          <w:sz w:val="18"/>
          <w:szCs w:val="18"/>
          <w:vertAlign w:val="superscript"/>
        </w:rPr>
        <w:t>5</w:t>
      </w:r>
      <w:r>
        <w:rPr>
          <w:rFonts w:ascii="Arial" w:eastAsia="Arial" w:hAnsi="Arial" w:cs="Arial"/>
          <w:sz w:val="18"/>
          <w:szCs w:val="18"/>
        </w:rPr>
        <w:t xml:space="preserve">. A principal etiologia da SN em cães é a glomerulonefrite </w:t>
      </w:r>
      <w:proofErr w:type="spellStart"/>
      <w:r>
        <w:rPr>
          <w:rFonts w:ascii="Arial" w:eastAsia="Arial" w:hAnsi="Arial" w:cs="Arial"/>
          <w:sz w:val="18"/>
          <w:szCs w:val="18"/>
        </w:rPr>
        <w:t>imunomediada</w:t>
      </w:r>
      <w:proofErr w:type="spellEnd"/>
      <w:r>
        <w:rPr>
          <w:rFonts w:ascii="Arial" w:eastAsia="Arial" w:hAnsi="Arial" w:cs="Arial"/>
          <w:sz w:val="18"/>
          <w:szCs w:val="18"/>
        </w:rPr>
        <w:t xml:space="preserve">, gerada pela deposição de </w:t>
      </w:r>
      <w:proofErr w:type="spellStart"/>
      <w:r>
        <w:rPr>
          <w:rFonts w:ascii="Arial" w:eastAsia="Arial" w:hAnsi="Arial" w:cs="Arial"/>
          <w:sz w:val="18"/>
          <w:szCs w:val="18"/>
        </w:rPr>
        <w:t>imunocomplexos</w:t>
      </w:r>
      <w:proofErr w:type="spellEnd"/>
      <w:r>
        <w:rPr>
          <w:rFonts w:ascii="Arial" w:eastAsia="Arial" w:hAnsi="Arial" w:cs="Arial"/>
          <w:sz w:val="18"/>
          <w:szCs w:val="18"/>
        </w:rPr>
        <w:t xml:space="preserve"> nos capilares glomerulares</w:t>
      </w:r>
      <w:r w:rsidR="00FE537F">
        <w:rPr>
          <w:rFonts w:ascii="Arial" w:eastAsia="Arial" w:hAnsi="Arial" w:cs="Arial"/>
          <w:sz w:val="18"/>
          <w:szCs w:val="18"/>
        </w:rPr>
        <w:t xml:space="preserve"> </w:t>
      </w:r>
      <w:r w:rsidR="00FE537F">
        <w:rPr>
          <w:rFonts w:ascii="Arial" w:eastAsia="Arial" w:hAnsi="Arial" w:cs="Arial"/>
          <w:sz w:val="18"/>
          <w:szCs w:val="18"/>
          <w:vertAlign w:val="superscript"/>
        </w:rPr>
        <w:t>2</w:t>
      </w:r>
      <w:r w:rsidR="00FE537F">
        <w:rPr>
          <w:rFonts w:ascii="Arial" w:eastAsia="Arial" w:hAnsi="Arial" w:cs="Arial"/>
          <w:sz w:val="18"/>
          <w:szCs w:val="18"/>
        </w:rPr>
        <w:t xml:space="preserve">. </w:t>
      </w:r>
      <w:r>
        <w:rPr>
          <w:rFonts w:ascii="Arial" w:eastAsia="Arial" w:hAnsi="Arial" w:cs="Arial"/>
          <w:sz w:val="18"/>
          <w:szCs w:val="18"/>
        </w:rPr>
        <w:t xml:space="preserve">Algumas afecções inflamatórias, infecciosas e neoplásicas estão associadas à formação de </w:t>
      </w:r>
      <w:proofErr w:type="spellStart"/>
      <w:r>
        <w:rPr>
          <w:rFonts w:ascii="Arial" w:eastAsia="Arial" w:hAnsi="Arial" w:cs="Arial"/>
          <w:sz w:val="18"/>
          <w:szCs w:val="18"/>
        </w:rPr>
        <w:t>imunocomplexos</w:t>
      </w:r>
      <w:proofErr w:type="spellEnd"/>
      <w:r>
        <w:rPr>
          <w:rFonts w:ascii="Arial" w:eastAsia="Arial" w:hAnsi="Arial" w:cs="Arial"/>
          <w:sz w:val="18"/>
          <w:szCs w:val="18"/>
        </w:rPr>
        <w:t>, como: leishmaniose, hemoparasitoses, endocardite bacteriana, pancreatite, linfoma e osteossarcoma</w:t>
      </w:r>
      <w:r w:rsidR="00FE537F">
        <w:rPr>
          <w:rFonts w:ascii="Arial" w:eastAsia="Arial" w:hAnsi="Arial" w:cs="Arial"/>
          <w:sz w:val="18"/>
          <w:szCs w:val="18"/>
        </w:rPr>
        <w:t xml:space="preserve"> </w:t>
      </w:r>
      <w:r w:rsidR="00FE537F">
        <w:rPr>
          <w:rFonts w:ascii="Arial" w:eastAsia="Arial" w:hAnsi="Arial" w:cs="Arial"/>
          <w:sz w:val="18"/>
          <w:szCs w:val="18"/>
          <w:vertAlign w:val="superscript"/>
        </w:rPr>
        <w:t>3</w:t>
      </w:r>
      <w:r>
        <w:rPr>
          <w:rFonts w:ascii="Arial" w:eastAsia="Arial" w:hAnsi="Arial" w:cs="Arial"/>
          <w:sz w:val="18"/>
          <w:szCs w:val="18"/>
        </w:rPr>
        <w:t xml:space="preserve">. </w:t>
      </w:r>
    </w:p>
    <w:p w14:paraId="2D60C2EC" w14:textId="73B0B149" w:rsidR="007800CD" w:rsidRPr="00374A3F" w:rsidRDefault="003F595F" w:rsidP="00D87322">
      <w:pPr>
        <w:jc w:val="both"/>
        <w:rPr>
          <w:rFonts w:ascii="Arial" w:eastAsia="Arial" w:hAnsi="Arial" w:cs="Arial"/>
          <w:sz w:val="18"/>
          <w:szCs w:val="18"/>
          <w:vertAlign w:val="superscript"/>
        </w:rPr>
      </w:pPr>
      <w:r>
        <w:rPr>
          <w:rFonts w:ascii="Arial" w:eastAsia="Arial" w:hAnsi="Arial" w:cs="Arial"/>
          <w:sz w:val="18"/>
          <w:szCs w:val="18"/>
        </w:rPr>
        <w:t xml:space="preserve">Os sinais clínicos característicos da SN são acúmulo de líquidos, ocasionando efusões </w:t>
      </w:r>
      <w:proofErr w:type="spellStart"/>
      <w:r>
        <w:rPr>
          <w:rFonts w:ascii="Arial" w:eastAsia="Arial" w:hAnsi="Arial" w:cs="Arial"/>
          <w:sz w:val="18"/>
          <w:szCs w:val="18"/>
        </w:rPr>
        <w:t>cavitárias</w:t>
      </w:r>
      <w:proofErr w:type="spellEnd"/>
      <w:r>
        <w:rPr>
          <w:rFonts w:ascii="Arial" w:eastAsia="Arial" w:hAnsi="Arial" w:cs="Arial"/>
          <w:sz w:val="18"/>
          <w:szCs w:val="18"/>
        </w:rPr>
        <w:t xml:space="preserve"> e/ou edemas em associação a </w:t>
      </w:r>
      <w:proofErr w:type="spellStart"/>
      <w:r>
        <w:rPr>
          <w:rFonts w:ascii="Arial" w:eastAsia="Arial" w:hAnsi="Arial" w:cs="Arial"/>
          <w:sz w:val="18"/>
          <w:szCs w:val="18"/>
        </w:rPr>
        <w:t>hipoalbuminemia</w:t>
      </w:r>
      <w:proofErr w:type="spellEnd"/>
      <w:r>
        <w:rPr>
          <w:rFonts w:ascii="Arial" w:eastAsia="Arial" w:hAnsi="Arial" w:cs="Arial"/>
          <w:sz w:val="18"/>
          <w:szCs w:val="18"/>
        </w:rPr>
        <w:t>, hiperlipidemia e proteinúria, sendo esses achados de fundamental importância no fechamento do diagnóstico</w:t>
      </w:r>
      <w:r w:rsidR="00FE537F">
        <w:rPr>
          <w:rFonts w:ascii="Arial" w:eastAsia="Arial" w:hAnsi="Arial" w:cs="Arial"/>
          <w:sz w:val="18"/>
          <w:szCs w:val="18"/>
        </w:rPr>
        <w:t xml:space="preserve"> </w:t>
      </w:r>
      <w:r w:rsidR="00FE537F">
        <w:rPr>
          <w:rFonts w:ascii="Arial" w:eastAsia="Arial" w:hAnsi="Arial" w:cs="Arial"/>
          <w:sz w:val="18"/>
          <w:szCs w:val="18"/>
          <w:vertAlign w:val="superscript"/>
        </w:rPr>
        <w:t>8</w:t>
      </w:r>
      <w:r>
        <w:rPr>
          <w:rFonts w:ascii="Arial" w:eastAsia="Arial" w:hAnsi="Arial" w:cs="Arial"/>
          <w:sz w:val="18"/>
          <w:szCs w:val="18"/>
        </w:rPr>
        <w:t xml:space="preserve">. Distúrbios circulatórios, como a </w:t>
      </w:r>
      <w:proofErr w:type="spellStart"/>
      <w:r>
        <w:rPr>
          <w:rFonts w:ascii="Arial" w:eastAsia="Arial" w:hAnsi="Arial" w:cs="Arial"/>
          <w:sz w:val="18"/>
          <w:szCs w:val="18"/>
        </w:rPr>
        <w:t>hipercoagulabilidade</w:t>
      </w:r>
      <w:proofErr w:type="spellEnd"/>
      <w:r>
        <w:rPr>
          <w:rFonts w:ascii="Arial" w:eastAsia="Arial" w:hAnsi="Arial" w:cs="Arial"/>
          <w:sz w:val="18"/>
          <w:szCs w:val="18"/>
        </w:rPr>
        <w:t>, também estão associados à SN, sendo diretamente relacionados a um prognóstico desfavorável</w:t>
      </w:r>
      <w:r w:rsidR="00FE537F">
        <w:rPr>
          <w:rFonts w:ascii="Arial" w:eastAsia="Arial" w:hAnsi="Arial" w:cs="Arial"/>
          <w:sz w:val="18"/>
          <w:szCs w:val="18"/>
        </w:rPr>
        <w:t xml:space="preserve"> </w:t>
      </w:r>
      <w:r w:rsidR="00FE537F">
        <w:rPr>
          <w:rFonts w:ascii="Arial" w:eastAsia="Arial" w:hAnsi="Arial" w:cs="Arial"/>
          <w:sz w:val="18"/>
          <w:szCs w:val="18"/>
          <w:vertAlign w:val="superscript"/>
        </w:rPr>
        <w:t>1</w:t>
      </w:r>
      <w:r>
        <w:rPr>
          <w:rFonts w:ascii="Arial" w:eastAsia="Arial" w:hAnsi="Arial" w:cs="Arial"/>
          <w:sz w:val="18"/>
          <w:szCs w:val="18"/>
        </w:rPr>
        <w:t>.</w:t>
      </w:r>
      <w:r w:rsidR="00374A3F">
        <w:rPr>
          <w:rFonts w:ascii="Arial" w:eastAsia="Arial" w:hAnsi="Arial" w:cs="Arial"/>
          <w:sz w:val="18"/>
          <w:szCs w:val="18"/>
          <w:vertAlign w:val="superscript"/>
        </w:rPr>
        <w:t xml:space="preserve"> </w:t>
      </w:r>
      <w:r>
        <w:rPr>
          <w:rFonts w:ascii="Arial" w:eastAsia="Arial" w:hAnsi="Arial" w:cs="Arial"/>
          <w:sz w:val="18"/>
          <w:szCs w:val="18"/>
        </w:rPr>
        <w:t xml:space="preserve">A SN é uma condição grave e de difícil reversão. Sendo assim a identificação da causa primária da </w:t>
      </w:r>
      <w:proofErr w:type="spellStart"/>
      <w:r>
        <w:rPr>
          <w:rFonts w:ascii="Arial" w:eastAsia="Arial" w:hAnsi="Arial" w:cs="Arial"/>
          <w:sz w:val="18"/>
          <w:szCs w:val="18"/>
        </w:rPr>
        <w:t>glomerulopatia</w:t>
      </w:r>
      <w:proofErr w:type="spellEnd"/>
      <w:r>
        <w:rPr>
          <w:rFonts w:ascii="Arial" w:eastAsia="Arial" w:hAnsi="Arial" w:cs="Arial"/>
          <w:sz w:val="18"/>
          <w:szCs w:val="18"/>
        </w:rPr>
        <w:t xml:space="preserve"> e o seu tratamento constituem a principal ferramenta para sua prevenção, controle e tratamento. A terapia suporte deve ser associada, e esta, irá depender da gravidade das alterações clínico-laboratoriais que o paciente apresentar</w:t>
      </w:r>
      <w:r w:rsidR="00FE537F">
        <w:rPr>
          <w:rFonts w:ascii="Arial" w:eastAsia="Arial" w:hAnsi="Arial" w:cs="Arial"/>
          <w:sz w:val="18"/>
          <w:szCs w:val="18"/>
        </w:rPr>
        <w:t xml:space="preserve"> </w:t>
      </w:r>
      <w:r w:rsidR="00FE537F">
        <w:rPr>
          <w:rFonts w:ascii="Arial" w:eastAsia="Arial" w:hAnsi="Arial" w:cs="Arial"/>
          <w:sz w:val="18"/>
          <w:szCs w:val="18"/>
          <w:vertAlign w:val="superscript"/>
        </w:rPr>
        <w:t>4</w:t>
      </w:r>
      <w:r>
        <w:rPr>
          <w:rFonts w:ascii="Arial" w:eastAsia="Arial" w:hAnsi="Arial" w:cs="Arial"/>
          <w:sz w:val="18"/>
          <w:szCs w:val="18"/>
        </w:rPr>
        <w:t>.</w:t>
      </w:r>
    </w:p>
    <w:p w14:paraId="7422ACB3" w14:textId="77777777" w:rsidR="007800CD" w:rsidRDefault="003F595F" w:rsidP="00D87322">
      <w:pPr>
        <w:jc w:val="both"/>
        <w:rPr>
          <w:rFonts w:ascii="Arial" w:eastAsia="Arial" w:hAnsi="Arial" w:cs="Arial"/>
          <w:sz w:val="18"/>
          <w:szCs w:val="18"/>
        </w:rPr>
      </w:pPr>
      <w:r>
        <w:rPr>
          <w:rFonts w:ascii="Arial" w:eastAsia="Arial" w:hAnsi="Arial" w:cs="Arial"/>
          <w:sz w:val="18"/>
          <w:szCs w:val="18"/>
        </w:rPr>
        <w:t>O objetivo do presente trabalho é evidenciar a importância do diagnóstico da SN, a identificação de sua causa base e o estabelecimento de tratamento rápido e eficaz associado à terapia suporte.</w:t>
      </w:r>
    </w:p>
    <w:p w14:paraId="71484E7A" w14:textId="77777777" w:rsidR="007800CD" w:rsidRDefault="007800CD" w:rsidP="00D87322">
      <w:pPr>
        <w:jc w:val="both"/>
        <w:rPr>
          <w:rFonts w:ascii="Arial" w:eastAsia="Arial" w:hAnsi="Arial" w:cs="Arial"/>
          <w:sz w:val="18"/>
          <w:szCs w:val="18"/>
        </w:rPr>
      </w:pPr>
    </w:p>
    <w:p w14:paraId="7DF79D78" w14:textId="77777777" w:rsidR="007800CD" w:rsidRDefault="003F595F" w:rsidP="00D87322">
      <w:pPr>
        <w:pBdr>
          <w:top w:val="nil"/>
          <w:left w:val="nil"/>
          <w:bottom w:val="single" w:sz="4" w:space="1" w:color="000000"/>
          <w:right w:val="nil"/>
          <w:between w:val="nil"/>
        </w:pBdr>
        <w:spacing w:after="40"/>
        <w:jc w:val="both"/>
        <w:rPr>
          <w:rFonts w:ascii="Arial" w:eastAsia="Arial" w:hAnsi="Arial" w:cs="Arial"/>
          <w:b/>
          <w:sz w:val="18"/>
          <w:szCs w:val="18"/>
        </w:rPr>
      </w:pPr>
      <w:r>
        <w:rPr>
          <w:rFonts w:ascii="Arial" w:eastAsia="Arial" w:hAnsi="Arial" w:cs="Arial"/>
          <w:b/>
          <w:sz w:val="18"/>
          <w:szCs w:val="18"/>
        </w:rPr>
        <w:t>RELATO DE CASO E DISCUSSÃO</w:t>
      </w:r>
    </w:p>
    <w:p w14:paraId="1F610E3D" w14:textId="77777777" w:rsidR="007800CD" w:rsidRDefault="003F595F" w:rsidP="00D87322">
      <w:pPr>
        <w:spacing w:after="40"/>
        <w:jc w:val="both"/>
        <w:rPr>
          <w:rFonts w:ascii="Arial" w:eastAsia="Arial" w:hAnsi="Arial" w:cs="Arial"/>
          <w:sz w:val="18"/>
          <w:szCs w:val="18"/>
        </w:rPr>
      </w:pPr>
      <w:r>
        <w:rPr>
          <w:rFonts w:ascii="Arial" w:eastAsia="Arial" w:hAnsi="Arial" w:cs="Arial"/>
          <w:sz w:val="18"/>
          <w:szCs w:val="18"/>
        </w:rPr>
        <w:t xml:space="preserve">Um canino macho da raça Pinscher, com quatro anos de idade, pesando 3 kg, foi atendido na Clínica Veterinária </w:t>
      </w:r>
      <w:proofErr w:type="spellStart"/>
      <w:r>
        <w:rPr>
          <w:rFonts w:ascii="Arial" w:eastAsia="Arial" w:hAnsi="Arial" w:cs="Arial"/>
          <w:sz w:val="18"/>
          <w:szCs w:val="18"/>
        </w:rPr>
        <w:t>Medvet</w:t>
      </w:r>
      <w:proofErr w:type="spellEnd"/>
      <w:r>
        <w:rPr>
          <w:rFonts w:ascii="Arial" w:eastAsia="Arial" w:hAnsi="Arial" w:cs="Arial"/>
          <w:sz w:val="18"/>
          <w:szCs w:val="18"/>
        </w:rPr>
        <w:t xml:space="preserve"> no dia 12/02/2021 com histórico de dispneia devido à efusão pleural, sendo encaminhado para toracocentese. </w:t>
      </w:r>
    </w:p>
    <w:p w14:paraId="696C078F" w14:textId="3EE4284B" w:rsidR="007800CD" w:rsidRDefault="003F595F" w:rsidP="00D87322">
      <w:pPr>
        <w:spacing w:after="40"/>
        <w:jc w:val="both"/>
        <w:rPr>
          <w:rFonts w:ascii="Arial" w:eastAsia="Arial" w:hAnsi="Arial" w:cs="Arial"/>
          <w:sz w:val="18"/>
          <w:szCs w:val="18"/>
        </w:rPr>
      </w:pPr>
      <w:r>
        <w:rPr>
          <w:rFonts w:ascii="Arial" w:eastAsia="Arial" w:hAnsi="Arial" w:cs="Arial"/>
          <w:sz w:val="18"/>
          <w:szCs w:val="18"/>
        </w:rPr>
        <w:t xml:space="preserve">À anamnese foi relatado que o paciente se apresentava inapetente e muito ofegante há cerca de sete dias. O tutor levou o animal a uma outra clínica veterinária, onde foram realizados exames de ultrassonografia abdominal e radiografia de tórax, sendo observada efusão pleural. Foi prescrito furosemida (2,5 mg/kg) e prednisona (1 mg/kg), amoxicilina (20 mg/kg) e omeprazol (1 mg/kg), havendo melhora significativa do quadro. O paciente, positivo para leishmaniose, já tratava a doença há 2 anos com </w:t>
      </w:r>
      <w:proofErr w:type="spellStart"/>
      <w:r>
        <w:rPr>
          <w:rFonts w:ascii="Arial" w:eastAsia="Arial" w:hAnsi="Arial" w:cs="Arial"/>
          <w:sz w:val="18"/>
          <w:szCs w:val="18"/>
        </w:rPr>
        <w:t>alopurinol</w:t>
      </w:r>
      <w:proofErr w:type="spellEnd"/>
      <w:r>
        <w:rPr>
          <w:rFonts w:ascii="Arial" w:eastAsia="Arial" w:hAnsi="Arial" w:cs="Arial"/>
          <w:sz w:val="18"/>
          <w:szCs w:val="18"/>
        </w:rPr>
        <w:t xml:space="preserve"> (10 mg/kg). No retorno, a radiografia foi repetida e constatou-se novamente a presença de efusão pleural, sendo o paciente então encaminhado para a Clínica Veterinária </w:t>
      </w:r>
      <w:proofErr w:type="spellStart"/>
      <w:r>
        <w:rPr>
          <w:rFonts w:ascii="Arial" w:eastAsia="Arial" w:hAnsi="Arial" w:cs="Arial"/>
          <w:sz w:val="18"/>
          <w:szCs w:val="18"/>
        </w:rPr>
        <w:t>MedVet</w:t>
      </w:r>
      <w:proofErr w:type="spellEnd"/>
      <w:r>
        <w:rPr>
          <w:rFonts w:ascii="Arial" w:eastAsia="Arial" w:hAnsi="Arial" w:cs="Arial"/>
          <w:sz w:val="18"/>
          <w:szCs w:val="18"/>
        </w:rPr>
        <w:t xml:space="preserve"> para realização de toracocentese. Após o procedimento foi realizada nova radiografia de tórax em que foi visualizada área de consolidação pulmonar no lado direito e </w:t>
      </w:r>
      <w:r w:rsidR="00D87322">
        <w:rPr>
          <w:rFonts w:ascii="Arial" w:eastAsia="Arial" w:hAnsi="Arial" w:cs="Arial"/>
          <w:sz w:val="18"/>
          <w:szCs w:val="18"/>
        </w:rPr>
        <w:t>discreta presença</w:t>
      </w:r>
      <w:r>
        <w:rPr>
          <w:rFonts w:ascii="Arial" w:eastAsia="Arial" w:hAnsi="Arial" w:cs="Arial"/>
          <w:sz w:val="18"/>
          <w:szCs w:val="18"/>
        </w:rPr>
        <w:t xml:space="preserve"> de líquido no tórax. O paciente retornou para casa no mesmo dia.</w:t>
      </w:r>
    </w:p>
    <w:p w14:paraId="706AEB23" w14:textId="77777777" w:rsidR="007800CD" w:rsidRDefault="007800CD" w:rsidP="001237F9">
      <w:pPr>
        <w:spacing w:after="40"/>
        <w:jc w:val="center"/>
        <w:rPr>
          <w:rFonts w:ascii="Arial" w:eastAsia="Arial" w:hAnsi="Arial" w:cs="Arial"/>
          <w:b/>
          <w:sz w:val="18"/>
          <w:szCs w:val="18"/>
        </w:rPr>
      </w:pPr>
    </w:p>
    <w:p w14:paraId="2D6D9E04" w14:textId="02ACD2DC" w:rsidR="007800CD" w:rsidRDefault="003F595F" w:rsidP="001237F9">
      <w:pPr>
        <w:spacing w:after="40"/>
        <w:jc w:val="center"/>
        <w:rPr>
          <w:rFonts w:ascii="Arial" w:eastAsia="Arial" w:hAnsi="Arial" w:cs="Arial"/>
          <w:sz w:val="18"/>
          <w:szCs w:val="18"/>
        </w:rPr>
      </w:pPr>
      <w:r>
        <w:rPr>
          <w:rFonts w:ascii="Arial" w:eastAsia="Arial" w:hAnsi="Arial" w:cs="Arial"/>
          <w:noProof/>
          <w:sz w:val="18"/>
          <w:szCs w:val="18"/>
        </w:rPr>
        <w:drawing>
          <wp:inline distT="114300" distB="114300" distL="114300" distR="114300" wp14:anchorId="359167F0" wp14:editId="264D2F11">
            <wp:extent cx="1551510" cy="1030300"/>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551510" cy="1030300"/>
                    </a:xfrm>
                    <a:prstGeom prst="rect">
                      <a:avLst/>
                    </a:prstGeom>
                    <a:ln/>
                  </pic:spPr>
                </pic:pic>
              </a:graphicData>
            </a:graphic>
          </wp:inline>
        </w:drawing>
      </w:r>
    </w:p>
    <w:p w14:paraId="3B21FB05" w14:textId="77777777" w:rsidR="001237F9" w:rsidRDefault="001237F9" w:rsidP="001237F9">
      <w:pPr>
        <w:spacing w:after="40"/>
        <w:jc w:val="center"/>
        <w:rPr>
          <w:rFonts w:ascii="Arial" w:eastAsia="Arial" w:hAnsi="Arial" w:cs="Arial"/>
          <w:sz w:val="18"/>
          <w:szCs w:val="18"/>
        </w:rPr>
      </w:pPr>
    </w:p>
    <w:p w14:paraId="34BAF098" w14:textId="77777777" w:rsidR="001237F9" w:rsidRDefault="001237F9" w:rsidP="001237F9">
      <w:pPr>
        <w:spacing w:after="40"/>
        <w:jc w:val="center"/>
        <w:rPr>
          <w:rFonts w:ascii="Arial" w:eastAsia="Arial" w:hAnsi="Arial" w:cs="Arial"/>
          <w:sz w:val="18"/>
          <w:szCs w:val="18"/>
        </w:rPr>
      </w:pPr>
      <w:r>
        <w:rPr>
          <w:rFonts w:ascii="Arial" w:eastAsia="Arial" w:hAnsi="Arial" w:cs="Arial"/>
          <w:b/>
          <w:sz w:val="18"/>
          <w:szCs w:val="18"/>
        </w:rPr>
        <w:t xml:space="preserve">Figura 1: </w:t>
      </w:r>
      <w:r>
        <w:rPr>
          <w:rFonts w:ascii="Arial" w:eastAsia="Arial" w:hAnsi="Arial" w:cs="Arial"/>
          <w:sz w:val="18"/>
          <w:szCs w:val="18"/>
        </w:rPr>
        <w:t xml:space="preserve">Radiografia de tórax realizada no paciente no dia 12/02/2021 (Fonte: Cortesia da Clínica Veterinária </w:t>
      </w:r>
      <w:proofErr w:type="spellStart"/>
      <w:r>
        <w:rPr>
          <w:rFonts w:ascii="Arial" w:eastAsia="Arial" w:hAnsi="Arial" w:cs="Arial"/>
          <w:sz w:val="18"/>
          <w:szCs w:val="18"/>
        </w:rPr>
        <w:t>Medvet</w:t>
      </w:r>
      <w:proofErr w:type="spellEnd"/>
      <w:r>
        <w:rPr>
          <w:rFonts w:ascii="Arial" w:eastAsia="Arial" w:hAnsi="Arial" w:cs="Arial"/>
          <w:sz w:val="18"/>
          <w:szCs w:val="18"/>
        </w:rPr>
        <w:t>).</w:t>
      </w:r>
    </w:p>
    <w:p w14:paraId="3965A4C3" w14:textId="77777777" w:rsidR="001237F9" w:rsidRDefault="001237F9" w:rsidP="001237F9">
      <w:pPr>
        <w:spacing w:after="40"/>
        <w:jc w:val="center"/>
        <w:rPr>
          <w:rFonts w:ascii="Arial" w:eastAsia="Arial" w:hAnsi="Arial" w:cs="Arial"/>
          <w:sz w:val="18"/>
          <w:szCs w:val="18"/>
        </w:rPr>
      </w:pPr>
    </w:p>
    <w:p w14:paraId="6911806D" w14:textId="21A7B208" w:rsidR="007800CD" w:rsidRDefault="003F595F" w:rsidP="00D87322">
      <w:pPr>
        <w:spacing w:after="40"/>
        <w:jc w:val="both"/>
        <w:rPr>
          <w:rFonts w:ascii="Arial" w:eastAsia="Arial" w:hAnsi="Arial" w:cs="Arial"/>
          <w:sz w:val="18"/>
          <w:szCs w:val="18"/>
        </w:rPr>
      </w:pPr>
      <w:r>
        <w:rPr>
          <w:rFonts w:ascii="Arial" w:eastAsia="Arial" w:hAnsi="Arial" w:cs="Arial"/>
          <w:sz w:val="18"/>
          <w:szCs w:val="18"/>
        </w:rPr>
        <w:t xml:space="preserve">No dia 15/03/2021, o paciente retornou à clínica com um novo encaminhamento para toracocentese, apresentando o mesmo </w:t>
      </w:r>
    </w:p>
    <w:p w14:paraId="5F78B2CF" w14:textId="785DCAED" w:rsidR="007800CD" w:rsidRDefault="003F595F" w:rsidP="00D87322">
      <w:pPr>
        <w:spacing w:after="40"/>
        <w:jc w:val="both"/>
        <w:rPr>
          <w:rFonts w:ascii="Arial" w:eastAsia="Arial" w:hAnsi="Arial" w:cs="Arial"/>
          <w:sz w:val="18"/>
          <w:szCs w:val="18"/>
        </w:rPr>
      </w:pPr>
      <w:r>
        <w:rPr>
          <w:rFonts w:ascii="Arial" w:eastAsia="Arial" w:hAnsi="Arial" w:cs="Arial"/>
          <w:sz w:val="18"/>
          <w:szCs w:val="18"/>
        </w:rPr>
        <w:t xml:space="preserve">quadro clínico anterior. Na toracocentese foram drenados 80 ml do lado direito e 20 ml do lado esquerdo. O líquido drenado foi enviado para análise de citologia, sendo compatível com transudato modificado. Na abdominocentese foram drenados 300 ml de líquido, que após avaliação de citologia foi compatível com transudato simples. Exames laboratoriais como relação proteína creatinina urinária (RPCU), hemograma e perfil bioquímico foram solicitados. Os resultados dos exames indicaram proteinúria, hiperlipidemia, hipercolesterolemia, azotemia e </w:t>
      </w:r>
      <w:proofErr w:type="spellStart"/>
      <w:r>
        <w:rPr>
          <w:rFonts w:ascii="Arial" w:eastAsia="Arial" w:hAnsi="Arial" w:cs="Arial"/>
          <w:sz w:val="18"/>
          <w:szCs w:val="18"/>
        </w:rPr>
        <w:t>hipoalbuminemia</w:t>
      </w:r>
      <w:proofErr w:type="spellEnd"/>
      <w:r>
        <w:rPr>
          <w:rFonts w:ascii="Arial" w:eastAsia="Arial" w:hAnsi="Arial" w:cs="Arial"/>
          <w:sz w:val="18"/>
          <w:szCs w:val="18"/>
        </w:rPr>
        <w:t>, sendo esse, conjunto de sinais de fundamental importância para o fechamento do diagnóstico da SN</w:t>
      </w:r>
      <w:r w:rsidR="00FE537F">
        <w:rPr>
          <w:rFonts w:ascii="Arial" w:eastAsia="Arial" w:hAnsi="Arial" w:cs="Arial"/>
          <w:sz w:val="18"/>
          <w:szCs w:val="18"/>
        </w:rPr>
        <w:t xml:space="preserve"> </w:t>
      </w:r>
      <w:r w:rsidR="00FE537F">
        <w:rPr>
          <w:rFonts w:ascii="Arial" w:eastAsia="Arial" w:hAnsi="Arial" w:cs="Arial"/>
          <w:sz w:val="18"/>
          <w:szCs w:val="18"/>
          <w:vertAlign w:val="superscript"/>
        </w:rPr>
        <w:t>8</w:t>
      </w:r>
      <w:r>
        <w:rPr>
          <w:rFonts w:ascii="Arial" w:eastAsia="Arial" w:hAnsi="Arial" w:cs="Arial"/>
          <w:sz w:val="18"/>
          <w:szCs w:val="18"/>
        </w:rPr>
        <w:t xml:space="preserve">. Observa-se a proteinúria quando o dano glomerular gera perda da permeabilidade seletiva do glomérulo, ocasionando eliminação de proteínas séricas na urina. Esse dano ocorre em decorrência da lesão glomerular progressiva gerada pela deposição de </w:t>
      </w:r>
      <w:proofErr w:type="spellStart"/>
      <w:r>
        <w:rPr>
          <w:rFonts w:ascii="Arial" w:eastAsia="Arial" w:hAnsi="Arial" w:cs="Arial"/>
          <w:sz w:val="18"/>
          <w:szCs w:val="18"/>
        </w:rPr>
        <w:t>imunocomplexos</w:t>
      </w:r>
      <w:proofErr w:type="spellEnd"/>
      <w:r>
        <w:rPr>
          <w:rFonts w:ascii="Arial" w:eastAsia="Arial" w:hAnsi="Arial" w:cs="Arial"/>
          <w:sz w:val="18"/>
          <w:szCs w:val="18"/>
        </w:rPr>
        <w:t xml:space="preserve"> na parede do glomérulo. Fator comumente observado em pacientes com leishmaniose</w:t>
      </w:r>
      <w:r w:rsidR="00FE537F">
        <w:rPr>
          <w:rFonts w:ascii="Arial" w:eastAsia="Arial" w:hAnsi="Arial" w:cs="Arial"/>
          <w:sz w:val="18"/>
          <w:szCs w:val="18"/>
        </w:rPr>
        <w:t xml:space="preserve"> </w:t>
      </w:r>
      <w:r w:rsidR="00FE537F">
        <w:rPr>
          <w:rFonts w:ascii="Arial" w:eastAsia="Arial" w:hAnsi="Arial" w:cs="Arial"/>
          <w:sz w:val="18"/>
          <w:szCs w:val="18"/>
          <w:vertAlign w:val="superscript"/>
        </w:rPr>
        <w:t>3, 6</w:t>
      </w:r>
      <w:r>
        <w:rPr>
          <w:rFonts w:ascii="Arial" w:eastAsia="Arial" w:hAnsi="Arial" w:cs="Arial"/>
          <w:sz w:val="18"/>
          <w:szCs w:val="18"/>
        </w:rPr>
        <w:t xml:space="preserve">. A </w:t>
      </w:r>
      <w:proofErr w:type="spellStart"/>
      <w:r>
        <w:rPr>
          <w:rFonts w:ascii="Arial" w:eastAsia="Arial" w:hAnsi="Arial" w:cs="Arial"/>
          <w:sz w:val="18"/>
          <w:szCs w:val="18"/>
        </w:rPr>
        <w:t>hipoalbuminemia</w:t>
      </w:r>
      <w:proofErr w:type="spellEnd"/>
      <w:r>
        <w:rPr>
          <w:rFonts w:ascii="Arial" w:eastAsia="Arial" w:hAnsi="Arial" w:cs="Arial"/>
          <w:sz w:val="18"/>
          <w:szCs w:val="18"/>
        </w:rPr>
        <w:t xml:space="preserve"> é observada quando a taxa de perda de albumina na urina supera sua síntese pelos hepatócitos. Esse fator gera um decréscimo na pressão oncótica sanguínea, predispondo a formação de edema. Na tentativa de compensar esse déficit, ocorre um aumento na produção de lipoproteínas de alto peso molecular pelo fígado, desencadeando o quadro de hiperlipidemia</w:t>
      </w:r>
      <w:r w:rsidR="00FE537F">
        <w:rPr>
          <w:rFonts w:ascii="Arial" w:eastAsia="Arial" w:hAnsi="Arial" w:cs="Arial"/>
          <w:sz w:val="18"/>
          <w:szCs w:val="18"/>
        </w:rPr>
        <w:t xml:space="preserve"> </w:t>
      </w:r>
      <w:r w:rsidR="00FE537F">
        <w:rPr>
          <w:rFonts w:ascii="Arial" w:eastAsia="Arial" w:hAnsi="Arial" w:cs="Arial"/>
          <w:sz w:val="18"/>
          <w:szCs w:val="18"/>
          <w:vertAlign w:val="superscript"/>
        </w:rPr>
        <w:t>6</w:t>
      </w:r>
      <w:r>
        <w:rPr>
          <w:rFonts w:ascii="Arial" w:eastAsia="Arial" w:hAnsi="Arial" w:cs="Arial"/>
          <w:sz w:val="18"/>
          <w:szCs w:val="18"/>
        </w:rPr>
        <w:t>.</w:t>
      </w:r>
    </w:p>
    <w:p w14:paraId="3470878A" w14:textId="53E773A4" w:rsidR="007800CD" w:rsidRDefault="003F595F" w:rsidP="00D87322">
      <w:pPr>
        <w:spacing w:after="40"/>
        <w:jc w:val="both"/>
        <w:rPr>
          <w:rFonts w:ascii="Arial" w:eastAsia="Arial" w:hAnsi="Arial" w:cs="Arial"/>
          <w:sz w:val="18"/>
          <w:szCs w:val="18"/>
        </w:rPr>
      </w:pPr>
      <w:r>
        <w:rPr>
          <w:rFonts w:ascii="Arial" w:eastAsia="Arial" w:hAnsi="Arial" w:cs="Arial"/>
          <w:sz w:val="18"/>
          <w:szCs w:val="18"/>
        </w:rPr>
        <w:t xml:space="preserve">O paciente foi internado por sete dias para realização de </w:t>
      </w:r>
      <w:proofErr w:type="spellStart"/>
      <w:r>
        <w:rPr>
          <w:rFonts w:ascii="Arial" w:eastAsia="Arial" w:hAnsi="Arial" w:cs="Arial"/>
          <w:sz w:val="18"/>
          <w:szCs w:val="18"/>
        </w:rPr>
        <w:t>fluidoterapia</w:t>
      </w:r>
      <w:proofErr w:type="spellEnd"/>
      <w:r>
        <w:rPr>
          <w:rFonts w:ascii="Arial" w:eastAsia="Arial" w:hAnsi="Arial" w:cs="Arial"/>
          <w:sz w:val="18"/>
          <w:szCs w:val="18"/>
        </w:rPr>
        <w:t xml:space="preserve"> e monitoramento da função renal. Com o objetivo de reduzir a inflamação do glomérulo e a deposição de </w:t>
      </w:r>
      <w:proofErr w:type="spellStart"/>
      <w:r>
        <w:rPr>
          <w:rFonts w:ascii="Arial" w:eastAsia="Arial" w:hAnsi="Arial" w:cs="Arial"/>
          <w:sz w:val="18"/>
          <w:szCs w:val="18"/>
        </w:rPr>
        <w:t>imunocomplexos</w:t>
      </w:r>
      <w:proofErr w:type="spellEnd"/>
      <w:r>
        <w:rPr>
          <w:rFonts w:ascii="Arial" w:eastAsia="Arial" w:hAnsi="Arial" w:cs="Arial"/>
          <w:sz w:val="18"/>
          <w:szCs w:val="18"/>
        </w:rPr>
        <w:t xml:space="preserve"> na parede glomerular, foi indicado a administração de prednisona (1 mg/kg)</w:t>
      </w:r>
      <w:r w:rsidR="00D63335" w:rsidRPr="00D63335">
        <w:rPr>
          <w:rFonts w:ascii="Arial" w:eastAsia="Arial" w:hAnsi="Arial" w:cs="Arial"/>
          <w:sz w:val="18"/>
          <w:szCs w:val="18"/>
          <w:vertAlign w:val="superscript"/>
        </w:rPr>
        <w:t xml:space="preserve"> </w:t>
      </w:r>
      <w:r w:rsidR="00D63335">
        <w:rPr>
          <w:rFonts w:ascii="Arial" w:eastAsia="Arial" w:hAnsi="Arial" w:cs="Arial"/>
          <w:sz w:val="18"/>
          <w:szCs w:val="18"/>
          <w:vertAlign w:val="superscript"/>
        </w:rPr>
        <w:t>8</w:t>
      </w:r>
      <w:r>
        <w:rPr>
          <w:rFonts w:ascii="Arial" w:eastAsia="Arial" w:hAnsi="Arial" w:cs="Arial"/>
          <w:sz w:val="18"/>
          <w:szCs w:val="18"/>
        </w:rPr>
        <w:t>.</w:t>
      </w:r>
      <w:r>
        <w:rPr>
          <w:rFonts w:ascii="Arial" w:eastAsia="Arial" w:hAnsi="Arial" w:cs="Arial"/>
          <w:sz w:val="18"/>
          <w:szCs w:val="18"/>
          <w:highlight w:val="white"/>
        </w:rPr>
        <w:t xml:space="preserve"> </w:t>
      </w:r>
      <w:r>
        <w:rPr>
          <w:rFonts w:ascii="Arial" w:eastAsia="Arial" w:hAnsi="Arial" w:cs="Arial"/>
          <w:sz w:val="18"/>
          <w:szCs w:val="18"/>
        </w:rPr>
        <w:t xml:space="preserve">Para controle da pressão arterial e redução do nível da proteinúria foi indicado </w:t>
      </w:r>
      <w:proofErr w:type="spellStart"/>
      <w:r>
        <w:rPr>
          <w:rFonts w:ascii="Arial" w:eastAsia="Arial" w:hAnsi="Arial" w:cs="Arial"/>
          <w:sz w:val="18"/>
          <w:szCs w:val="18"/>
        </w:rPr>
        <w:t>benazepril</w:t>
      </w:r>
      <w:proofErr w:type="spellEnd"/>
      <w:r>
        <w:rPr>
          <w:rFonts w:ascii="Arial" w:eastAsia="Arial" w:hAnsi="Arial" w:cs="Arial"/>
          <w:sz w:val="18"/>
          <w:szCs w:val="18"/>
        </w:rPr>
        <w:t xml:space="preserve"> (0,5 mg/kg)</w:t>
      </w:r>
      <w:r w:rsidR="00D63335">
        <w:rPr>
          <w:rFonts w:ascii="Arial" w:eastAsia="Arial" w:hAnsi="Arial" w:cs="Arial"/>
          <w:sz w:val="18"/>
          <w:szCs w:val="18"/>
        </w:rPr>
        <w:t xml:space="preserve"> </w:t>
      </w:r>
      <w:r w:rsidR="00D63335">
        <w:rPr>
          <w:rFonts w:ascii="Arial" w:eastAsia="Arial" w:hAnsi="Arial" w:cs="Arial"/>
          <w:sz w:val="18"/>
          <w:szCs w:val="18"/>
          <w:vertAlign w:val="superscript"/>
        </w:rPr>
        <w:t>7</w:t>
      </w:r>
      <w:r>
        <w:rPr>
          <w:rFonts w:ascii="Arial" w:eastAsia="Arial" w:hAnsi="Arial" w:cs="Arial"/>
          <w:sz w:val="18"/>
          <w:szCs w:val="18"/>
        </w:rPr>
        <w:t>.</w:t>
      </w:r>
      <w:r w:rsidR="00D63335">
        <w:rPr>
          <w:rFonts w:ascii="Arial" w:eastAsia="Arial" w:hAnsi="Arial" w:cs="Arial"/>
          <w:sz w:val="18"/>
          <w:szCs w:val="18"/>
        </w:rPr>
        <w:t xml:space="preserve"> </w:t>
      </w:r>
      <w:r>
        <w:rPr>
          <w:rFonts w:ascii="Arial" w:eastAsia="Arial" w:hAnsi="Arial" w:cs="Arial"/>
          <w:sz w:val="18"/>
          <w:szCs w:val="18"/>
          <w:highlight w:val="white"/>
        </w:rPr>
        <w:t>A suplementação de albumina na dieta também foi indicada.</w:t>
      </w:r>
    </w:p>
    <w:p w14:paraId="5C0C98E4" w14:textId="77777777" w:rsidR="007800CD" w:rsidRDefault="003F595F" w:rsidP="00D87322">
      <w:pPr>
        <w:spacing w:after="40"/>
        <w:jc w:val="both"/>
        <w:rPr>
          <w:rFonts w:ascii="Arial" w:eastAsia="Arial" w:hAnsi="Arial" w:cs="Arial"/>
          <w:sz w:val="18"/>
          <w:szCs w:val="18"/>
        </w:rPr>
      </w:pPr>
      <w:r>
        <w:rPr>
          <w:rFonts w:ascii="Arial" w:eastAsia="Arial" w:hAnsi="Arial" w:cs="Arial"/>
          <w:sz w:val="18"/>
          <w:szCs w:val="18"/>
        </w:rPr>
        <w:t xml:space="preserve">No dia 25/03/2021 o tutor retornou novamente à clínica alegando que o paciente havia piorado, apresentando episódios frequentes de vômito e perda de peso. O paciente foi internado por 24h para monitoramento e realização de novos exames, os quais revelaram anemia, leucocitose com desvio de neutrófilos nucleados à direita e azotemia severa. No caso em questão, o prognóstico do paciente se apresentava desfavorável, visto que há maior taxa de mortalidade em cães </w:t>
      </w:r>
      <w:proofErr w:type="spellStart"/>
      <w:r>
        <w:rPr>
          <w:rFonts w:ascii="Arial" w:eastAsia="Arial" w:hAnsi="Arial" w:cs="Arial"/>
          <w:sz w:val="18"/>
          <w:szCs w:val="18"/>
        </w:rPr>
        <w:t>azotêmicos</w:t>
      </w:r>
      <w:proofErr w:type="spellEnd"/>
      <w:r>
        <w:rPr>
          <w:rFonts w:ascii="Arial" w:eastAsia="Arial" w:hAnsi="Arial" w:cs="Arial"/>
          <w:sz w:val="18"/>
          <w:szCs w:val="18"/>
        </w:rPr>
        <w:t xml:space="preserve"> em comparação aos não-</w:t>
      </w:r>
      <w:proofErr w:type="spellStart"/>
      <w:r>
        <w:rPr>
          <w:rFonts w:ascii="Arial" w:eastAsia="Arial" w:hAnsi="Arial" w:cs="Arial"/>
          <w:sz w:val="18"/>
          <w:szCs w:val="18"/>
        </w:rPr>
        <w:t>azotêmicos</w:t>
      </w:r>
      <w:proofErr w:type="spellEnd"/>
      <w:r>
        <w:rPr>
          <w:rFonts w:ascii="Arial" w:eastAsia="Arial" w:hAnsi="Arial" w:cs="Arial"/>
          <w:sz w:val="18"/>
          <w:szCs w:val="18"/>
        </w:rPr>
        <w:t>. Como o tratamento não surtiu efeito, o bem estar do paciente estava irreversivelmente comprometido e os custos de novos tratamentos não estavam compatíveis com a situação financeira do tutor, a eutanásia foi realizada.</w:t>
      </w:r>
    </w:p>
    <w:p w14:paraId="6A5241E9" w14:textId="77777777" w:rsidR="007800CD" w:rsidRDefault="007800CD" w:rsidP="00D87322">
      <w:pPr>
        <w:spacing w:after="40"/>
        <w:jc w:val="both"/>
        <w:rPr>
          <w:rFonts w:ascii="Arial" w:eastAsia="Arial" w:hAnsi="Arial" w:cs="Arial"/>
          <w:sz w:val="18"/>
          <w:szCs w:val="18"/>
        </w:rPr>
      </w:pPr>
    </w:p>
    <w:p w14:paraId="70B774BD" w14:textId="77777777" w:rsidR="007800CD" w:rsidRDefault="003F595F" w:rsidP="00D87322">
      <w:pPr>
        <w:pBdr>
          <w:top w:val="nil"/>
          <w:left w:val="nil"/>
          <w:bottom w:val="single" w:sz="4" w:space="1" w:color="000000"/>
          <w:right w:val="nil"/>
          <w:between w:val="nil"/>
        </w:pBdr>
        <w:spacing w:after="40"/>
        <w:jc w:val="both"/>
        <w:rPr>
          <w:rFonts w:ascii="Arial" w:eastAsia="Arial" w:hAnsi="Arial" w:cs="Arial"/>
          <w:b/>
          <w:sz w:val="18"/>
          <w:szCs w:val="18"/>
        </w:rPr>
      </w:pPr>
      <w:r>
        <w:rPr>
          <w:rFonts w:ascii="Arial" w:eastAsia="Arial" w:hAnsi="Arial" w:cs="Arial"/>
          <w:b/>
          <w:sz w:val="18"/>
          <w:szCs w:val="18"/>
        </w:rPr>
        <w:t>CONSIDERAÇÕES FINAIS</w:t>
      </w:r>
    </w:p>
    <w:p w14:paraId="4906627B" w14:textId="77777777" w:rsidR="007800CD" w:rsidRDefault="003F595F" w:rsidP="00D87322">
      <w:pPr>
        <w:spacing w:after="40"/>
        <w:jc w:val="both"/>
        <w:rPr>
          <w:rFonts w:ascii="Arial" w:eastAsia="Arial" w:hAnsi="Arial" w:cs="Arial"/>
          <w:sz w:val="18"/>
          <w:szCs w:val="18"/>
        </w:rPr>
      </w:pPr>
      <w:r>
        <w:rPr>
          <w:rFonts w:ascii="Arial" w:eastAsia="Arial" w:hAnsi="Arial" w:cs="Arial"/>
          <w:sz w:val="18"/>
          <w:szCs w:val="18"/>
        </w:rPr>
        <w:t xml:space="preserve">Como descrito, a SN é um conjunto de sinais clínico-laboratoriais decorrentes de uma lesão glomerular, sendo essa, secundária a uma doença base. A correta interpretação dos achados é uma ferramenta importante para melhor entendimento da SN, tanto em relação ao seu diagnóstico, tratamento, quanto ao prognóstico. O tratamento visa o combate da doença primária, causadora da glomerulonefrite, em conjunto com terapia auxiliar para recuperação da lesão glomerular. A utilização de exames de imagem complementares se mostra importante no diagnóstico da SN, o que contribui para reduzir seu </w:t>
      </w:r>
      <w:proofErr w:type="spellStart"/>
      <w:r>
        <w:rPr>
          <w:rFonts w:ascii="Arial" w:eastAsia="Arial" w:hAnsi="Arial" w:cs="Arial"/>
          <w:sz w:val="18"/>
          <w:szCs w:val="18"/>
        </w:rPr>
        <w:t>subdiagnóstico</w:t>
      </w:r>
      <w:proofErr w:type="spellEnd"/>
      <w:r>
        <w:rPr>
          <w:rFonts w:ascii="Arial" w:eastAsia="Arial" w:hAnsi="Arial" w:cs="Arial"/>
          <w:sz w:val="18"/>
          <w:szCs w:val="18"/>
        </w:rPr>
        <w:t xml:space="preserve"> em Medicina Veterinária. </w:t>
      </w:r>
    </w:p>
    <w:p w14:paraId="14FCF136" w14:textId="77777777" w:rsidR="007800CD" w:rsidRDefault="007800CD">
      <w:pPr>
        <w:spacing w:after="40"/>
        <w:jc w:val="both"/>
        <w:rPr>
          <w:rFonts w:ascii="Arial" w:eastAsia="Arial" w:hAnsi="Arial" w:cs="Arial"/>
          <w:sz w:val="18"/>
          <w:szCs w:val="18"/>
        </w:rPr>
      </w:pPr>
    </w:p>
    <w:p w14:paraId="6AE9D9B4" w14:textId="77777777" w:rsidR="00374A3F" w:rsidRDefault="003F595F" w:rsidP="001237F9">
      <w:pPr>
        <w:spacing w:after="40"/>
        <w:jc w:val="center"/>
        <w:rPr>
          <w:rFonts w:ascii="Arial" w:eastAsia="Arial" w:hAnsi="Arial" w:cs="Arial"/>
          <w:b/>
          <w:sz w:val="14"/>
          <w:szCs w:val="14"/>
        </w:rPr>
      </w:pPr>
      <w:r>
        <w:rPr>
          <w:rFonts w:ascii="Arial" w:eastAsia="Arial" w:hAnsi="Arial" w:cs="Arial"/>
          <w:b/>
          <w:sz w:val="14"/>
          <w:szCs w:val="14"/>
        </w:rPr>
        <w:t>APOIO:</w:t>
      </w:r>
    </w:p>
    <w:p w14:paraId="0404572F" w14:textId="478EBA66" w:rsidR="007800CD" w:rsidRPr="00D94522" w:rsidRDefault="003F595F" w:rsidP="00D94522">
      <w:pPr>
        <w:spacing w:after="40"/>
        <w:jc w:val="center"/>
        <w:rPr>
          <w:rFonts w:ascii="Arial" w:eastAsia="Arial" w:hAnsi="Arial" w:cs="Arial"/>
          <w:b/>
          <w:sz w:val="14"/>
          <w:szCs w:val="14"/>
        </w:rPr>
      </w:pPr>
      <w:r>
        <w:rPr>
          <w:rFonts w:ascii="Arial" w:eastAsia="Arial" w:hAnsi="Arial" w:cs="Arial"/>
          <w:noProof/>
        </w:rPr>
        <w:drawing>
          <wp:inline distT="0" distB="0" distL="0" distR="0" wp14:anchorId="7A136096" wp14:editId="59A4F900">
            <wp:extent cx="1104900" cy="447675"/>
            <wp:effectExtent l="0" t="0" r="0" b="9525"/>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107566" cy="448755"/>
                    </a:xfrm>
                    <a:prstGeom prst="rect">
                      <a:avLst/>
                    </a:prstGeom>
                    <a:ln/>
                  </pic:spPr>
                </pic:pic>
              </a:graphicData>
            </a:graphic>
          </wp:inline>
        </w:drawing>
      </w:r>
      <w:r w:rsidR="009E7481">
        <w:rPr>
          <w:rFonts w:ascii="Arial" w:eastAsia="Arial" w:hAnsi="Arial" w:cs="Arial"/>
        </w:rPr>
        <w:t xml:space="preserve"> </w:t>
      </w:r>
      <w:r>
        <w:rPr>
          <w:rFonts w:ascii="Arial" w:eastAsia="Arial" w:hAnsi="Arial" w:cs="Arial"/>
          <w:noProof/>
        </w:rPr>
        <w:drawing>
          <wp:inline distT="114300" distB="114300" distL="114300" distR="114300" wp14:anchorId="7FC7ACA8" wp14:editId="4F074AB6">
            <wp:extent cx="1000125" cy="409575"/>
            <wp:effectExtent l="0" t="0" r="9525" b="9525"/>
            <wp:docPr id="1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1000331" cy="409659"/>
                    </a:xfrm>
                    <a:prstGeom prst="rect">
                      <a:avLst/>
                    </a:prstGeom>
                    <a:ln/>
                  </pic:spPr>
                </pic:pic>
              </a:graphicData>
            </a:graphic>
          </wp:inline>
        </w:drawing>
      </w:r>
    </w:p>
    <w:sectPr w:rsidR="007800CD" w:rsidRPr="00D94522">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86AF" w14:textId="77777777" w:rsidR="00782DAB" w:rsidRDefault="00782DAB">
      <w:r>
        <w:separator/>
      </w:r>
    </w:p>
  </w:endnote>
  <w:endnote w:type="continuationSeparator" w:id="0">
    <w:p w14:paraId="4F61C7ED" w14:textId="77777777" w:rsidR="00782DAB" w:rsidRDefault="0078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7564" w14:textId="77777777" w:rsidR="00782DAB" w:rsidRDefault="00782DAB">
      <w:r>
        <w:separator/>
      </w:r>
    </w:p>
  </w:footnote>
  <w:footnote w:type="continuationSeparator" w:id="0">
    <w:p w14:paraId="715EF1E4" w14:textId="77777777" w:rsidR="00782DAB" w:rsidRDefault="0078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D065" w14:textId="77777777" w:rsidR="007800CD" w:rsidRDefault="003F595F">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14:anchorId="43B1E939" wp14:editId="1B4D16BC">
          <wp:simplePos x="0" y="0"/>
          <wp:positionH relativeFrom="column">
            <wp:posOffset>6258560</wp:posOffset>
          </wp:positionH>
          <wp:positionV relativeFrom="paragraph">
            <wp:posOffset>-133346</wp:posOffset>
          </wp:positionV>
          <wp:extent cx="762000" cy="724535"/>
          <wp:effectExtent l="0" t="0" r="0" b="0"/>
          <wp:wrapNone/>
          <wp:docPr id="3"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1022863D" w14:textId="77777777" w:rsidR="007800CD" w:rsidRDefault="003F595F">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CD"/>
    <w:rsid w:val="0006658C"/>
    <w:rsid w:val="001237F9"/>
    <w:rsid w:val="001459B1"/>
    <w:rsid w:val="00215872"/>
    <w:rsid w:val="00374A3F"/>
    <w:rsid w:val="003B7470"/>
    <w:rsid w:val="003E4DCF"/>
    <w:rsid w:val="003F595F"/>
    <w:rsid w:val="007800CD"/>
    <w:rsid w:val="00782DAB"/>
    <w:rsid w:val="009E7481"/>
    <w:rsid w:val="00BA36A9"/>
    <w:rsid w:val="00D63335"/>
    <w:rsid w:val="00D87322"/>
    <w:rsid w:val="00D94522"/>
    <w:rsid w:val="00F54DB2"/>
    <w:rsid w:val="00FE53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348D"/>
  <w15:docId w15:val="{B1DC0582-1437-436D-BF5D-D31AEC28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paragraph" w:styleId="Assuntodocomentrio">
    <w:name w:val="annotation subject"/>
    <w:basedOn w:val="Textodecomentrio"/>
    <w:next w:val="Textodecomentrio"/>
    <w:link w:val="AssuntodocomentrioChar"/>
    <w:uiPriority w:val="99"/>
    <w:semiHidden/>
    <w:unhideWhenUsed/>
    <w:rsid w:val="001459B1"/>
    <w:pPr>
      <w:jc w:val="left"/>
    </w:pPr>
    <w:rPr>
      <w:b/>
      <w:bCs/>
      <w:color w:val="auto"/>
    </w:rPr>
  </w:style>
  <w:style w:type="character" w:customStyle="1" w:styleId="AssuntodocomentrioChar">
    <w:name w:val="Assunto do comentário Char"/>
    <w:basedOn w:val="TextodecomentrioChar"/>
    <w:link w:val="Assuntodocomentrio"/>
    <w:uiPriority w:val="99"/>
    <w:semiHidden/>
    <w:rsid w:val="001459B1"/>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8kzDtEmABuse2l9XmlHZW/CIA==">AMUW2mXFkxPjCRGplkFGymTC2JbuH3rPuP4HqOYMJ3TM4UWGe8xA0Tr24BLko8S9SyvSg4bVepHt2yQFnCflo1HtSY9blECZ+oJxDO+2w7K5NtZFZByGv4OvU03ItcYReusTuvOUJNUR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1018</Words>
  <Characters>5501</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Felipe Madureira</cp:lastModifiedBy>
  <cp:revision>5</cp:revision>
  <dcterms:created xsi:type="dcterms:W3CDTF">2021-04-29T03:02:00Z</dcterms:created>
  <dcterms:modified xsi:type="dcterms:W3CDTF">2021-05-16T20:11:00Z</dcterms:modified>
</cp:coreProperties>
</file>