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D4C7A" w14:textId="77777777" w:rsidR="00B21AFE" w:rsidRPr="00962EEC" w:rsidRDefault="007F30A2" w:rsidP="00B21AFE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>
        <w:softHyphen/>
      </w:r>
      <w:r w:rsidR="001E33B6" w:rsidRPr="001E33B6">
        <w:rPr>
          <w:rFonts w:ascii="Arial" w:hAnsi="Arial" w:cs="Arial"/>
          <w:b/>
        </w:rPr>
        <w:t xml:space="preserve"> </w:t>
      </w:r>
      <w:r w:rsidR="00B21AFE" w:rsidRPr="00962EEC">
        <w:rPr>
          <w:rFonts w:ascii="Arial" w:hAnsi="Arial" w:cs="Arial"/>
          <w:b/>
          <w:lang w:val="pt-BR"/>
        </w:rPr>
        <w:t xml:space="preserve">EMULSÕES LIPÍDICAS PARENTERAIS: MAPEAMENTO TECNOLÓGICO ATRAVÉS DA ANÁLISE DE PATENTES </w:t>
      </w:r>
    </w:p>
    <w:p w14:paraId="37A46F6C" w14:textId="37C04B16" w:rsidR="001E33B6" w:rsidRDefault="001E33B6" w:rsidP="00B21AFE">
      <w:pPr>
        <w:spacing w:after="0" w:line="240" w:lineRule="auto"/>
        <w:jc w:val="center"/>
        <w:rPr>
          <w:rFonts w:ascii="Arial" w:hAnsi="Arial" w:cs="Arial"/>
          <w:sz w:val="20"/>
          <w:highlight w:val="yellow"/>
          <w:lang w:val="pt-BR"/>
        </w:rPr>
      </w:pPr>
    </w:p>
    <w:p w14:paraId="51940FF6" w14:textId="13C1E5D1" w:rsidR="00FF0039" w:rsidRPr="00FF0039" w:rsidRDefault="00FF0039" w:rsidP="00FF0039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E2E60">
        <w:rPr>
          <w:rFonts w:ascii="Arial" w:hAnsi="Arial" w:cs="Arial"/>
          <w:b/>
          <w:sz w:val="20"/>
          <w:szCs w:val="20"/>
          <w:lang w:val="pt-BR"/>
        </w:rPr>
        <w:t xml:space="preserve">Cíntia de Santana Silva </w:t>
      </w:r>
      <w:r w:rsidRPr="00AE2E60">
        <w:rPr>
          <w:rFonts w:ascii="Arial" w:hAnsi="Arial" w:cs="Arial"/>
          <w:sz w:val="20"/>
          <w:szCs w:val="20"/>
          <w:lang w:val="pt-BR"/>
        </w:rPr>
        <w:t>¹;</w:t>
      </w:r>
      <w:r w:rsidRPr="00AE2E60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FF0039">
        <w:rPr>
          <w:rFonts w:ascii="Arial" w:hAnsi="Arial" w:cs="Arial"/>
          <w:sz w:val="20"/>
          <w:szCs w:val="20"/>
          <w:lang w:val="pt-BR"/>
        </w:rPr>
        <w:t>Bruna Aparecida Souza Machado</w:t>
      </w:r>
      <w:r w:rsidRPr="00AE2E60">
        <w:rPr>
          <w:rFonts w:ascii="Arial" w:hAnsi="Arial" w:cs="Arial"/>
          <w:sz w:val="20"/>
          <w:szCs w:val="20"/>
          <w:lang w:val="pt-BR"/>
        </w:rPr>
        <w:t xml:space="preserve"> </w:t>
      </w:r>
      <w:r w:rsidR="00AE2E60" w:rsidRPr="00AE2E60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14:paraId="3F2FD34C" w14:textId="43ACD197" w:rsidR="00AE2E60" w:rsidRPr="00A51019" w:rsidRDefault="00AE2E60" w:rsidP="00AE2E60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="001C4F37">
        <w:rPr>
          <w:rFonts w:ascii="Arial" w:hAnsi="Arial" w:cs="Arial"/>
          <w:sz w:val="20"/>
          <w:szCs w:val="20"/>
          <w:lang w:val="pt-BR"/>
        </w:rPr>
        <w:t>Doutora</w:t>
      </w:r>
      <w:r w:rsidR="00321BC5">
        <w:rPr>
          <w:rFonts w:ascii="Arial" w:hAnsi="Arial" w:cs="Arial"/>
          <w:sz w:val="20"/>
          <w:szCs w:val="20"/>
          <w:lang w:val="pt-BR"/>
        </w:rPr>
        <w:t>nd</w:t>
      </w:r>
      <w:r w:rsidR="002D5056">
        <w:rPr>
          <w:rFonts w:ascii="Arial" w:hAnsi="Arial" w:cs="Arial"/>
          <w:sz w:val="20"/>
          <w:szCs w:val="20"/>
          <w:lang w:val="pt-BR"/>
        </w:rPr>
        <w:t>a</w:t>
      </w:r>
      <w:r w:rsidR="001C4F37">
        <w:rPr>
          <w:rFonts w:ascii="Arial" w:hAnsi="Arial" w:cs="Arial"/>
          <w:sz w:val="20"/>
          <w:szCs w:val="20"/>
          <w:lang w:val="pt-BR"/>
        </w:rPr>
        <w:t xml:space="preserve"> em Gestão e Tecnologia Industrial</w:t>
      </w:r>
      <w:r w:rsidR="00562F7D">
        <w:rPr>
          <w:rFonts w:ascii="Arial" w:hAnsi="Arial" w:cs="Arial"/>
          <w:sz w:val="20"/>
          <w:szCs w:val="20"/>
          <w:lang w:val="pt-BR"/>
        </w:rPr>
        <w:t>;</w:t>
      </w:r>
      <w:r w:rsidR="00D2107B">
        <w:rPr>
          <w:rFonts w:ascii="Arial" w:hAnsi="Arial" w:cs="Arial"/>
          <w:sz w:val="20"/>
          <w:szCs w:val="20"/>
          <w:lang w:val="pt-BR"/>
        </w:rPr>
        <w:t xml:space="preserve"> </w:t>
      </w:r>
      <w:r w:rsidR="00D2107B" w:rsidRPr="00D2107B">
        <w:rPr>
          <w:rFonts w:ascii="Arial" w:hAnsi="Arial" w:cs="Arial"/>
          <w:sz w:val="20"/>
          <w:szCs w:val="20"/>
          <w:lang w:val="pt-BR"/>
        </w:rPr>
        <w:t>Centro Universitário SENAI CIMATEC</w:t>
      </w:r>
      <w:r w:rsidR="001C4F37">
        <w:rPr>
          <w:rFonts w:ascii="Arial" w:hAnsi="Arial" w:cs="Arial"/>
          <w:sz w:val="20"/>
          <w:szCs w:val="20"/>
          <w:lang w:val="pt-BR"/>
        </w:rPr>
        <w:t>;</w:t>
      </w:r>
      <w:r w:rsidR="005A5E79">
        <w:rPr>
          <w:rFonts w:ascii="Arial" w:hAnsi="Arial" w:cs="Arial"/>
          <w:sz w:val="20"/>
          <w:szCs w:val="20"/>
          <w:lang w:val="pt-BR"/>
        </w:rPr>
        <w:t xml:space="preserve"> </w:t>
      </w:r>
      <w:r w:rsidR="001C4F37" w:rsidRPr="00D2107B">
        <w:rPr>
          <w:rFonts w:ascii="Arial" w:hAnsi="Arial" w:cs="Arial"/>
          <w:sz w:val="20"/>
          <w:szCs w:val="20"/>
          <w:lang w:val="pt-BR"/>
        </w:rPr>
        <w:t>Doutorado</w:t>
      </w:r>
      <w:r w:rsidR="00321BC5" w:rsidRPr="00D2107B">
        <w:rPr>
          <w:rFonts w:ascii="Arial" w:hAnsi="Arial" w:cs="Arial"/>
          <w:sz w:val="20"/>
          <w:szCs w:val="20"/>
          <w:lang w:val="pt-BR"/>
        </w:rPr>
        <w:t xml:space="preserve"> </w:t>
      </w:r>
      <w:r w:rsidRPr="00D2107B">
        <w:rPr>
          <w:rFonts w:ascii="Arial" w:hAnsi="Arial" w:cs="Arial"/>
          <w:sz w:val="20"/>
          <w:szCs w:val="20"/>
          <w:lang w:val="pt-BR"/>
        </w:rPr>
        <w:t>- FAPESB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AE2E60">
        <w:rPr>
          <w:rFonts w:ascii="Arial" w:hAnsi="Arial" w:cs="Arial"/>
          <w:sz w:val="20"/>
          <w:szCs w:val="20"/>
          <w:lang w:val="pt-BR"/>
        </w:rPr>
        <w:t xml:space="preserve"> </w:t>
      </w:r>
      <w:r w:rsidRPr="00FF0039">
        <w:rPr>
          <w:rFonts w:ascii="Arial" w:hAnsi="Arial" w:cs="Arial"/>
          <w:sz w:val="20"/>
          <w:szCs w:val="20"/>
          <w:lang w:val="pt-BR"/>
        </w:rPr>
        <w:t>cintiadesantanasilva@hotmail.com</w:t>
      </w:r>
    </w:p>
    <w:p w14:paraId="3835209E" w14:textId="33727900" w:rsidR="00AE2E60" w:rsidRPr="00FF0039" w:rsidRDefault="00AE2E60" w:rsidP="00AE2E60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D2107B" w:rsidRPr="00562F7D">
        <w:rPr>
          <w:rFonts w:ascii="Arial" w:hAnsi="Arial" w:cs="Arial"/>
          <w:sz w:val="20"/>
          <w:szCs w:val="20"/>
          <w:lang w:val="pt-BR"/>
        </w:rPr>
        <w:t>Do</w:t>
      </w:r>
      <w:bookmarkStart w:id="0" w:name="_GoBack"/>
      <w:bookmarkEnd w:id="0"/>
      <w:r w:rsidR="00D2107B" w:rsidRPr="00562F7D">
        <w:rPr>
          <w:rFonts w:ascii="Arial" w:hAnsi="Arial" w:cs="Arial"/>
          <w:sz w:val="20"/>
          <w:szCs w:val="20"/>
          <w:lang w:val="pt-BR"/>
        </w:rPr>
        <w:t>utora em Biotecnologia</w:t>
      </w:r>
      <w:r w:rsidR="00562F7D">
        <w:rPr>
          <w:rFonts w:ascii="Arial" w:hAnsi="Arial" w:cs="Arial"/>
          <w:sz w:val="20"/>
          <w:szCs w:val="20"/>
          <w:lang w:val="pt-BR"/>
        </w:rPr>
        <w:t xml:space="preserve">; </w:t>
      </w:r>
      <w:r w:rsidRPr="00A51019">
        <w:rPr>
          <w:rFonts w:ascii="Arial" w:hAnsi="Arial" w:cs="Arial"/>
          <w:sz w:val="20"/>
          <w:szCs w:val="20"/>
          <w:lang w:val="pt-BR"/>
        </w:rPr>
        <w:t>Centro Universitário SENAI CIMATEC; Salvador-</w:t>
      </w:r>
      <w:r w:rsidR="0042591F">
        <w:rPr>
          <w:rFonts w:ascii="Arial" w:hAnsi="Arial" w:cs="Arial"/>
          <w:sz w:val="20"/>
          <w:szCs w:val="20"/>
          <w:lang w:val="pt-BR"/>
        </w:rPr>
        <w:t xml:space="preserve"> </w:t>
      </w:r>
      <w:r w:rsidRPr="00A51019">
        <w:rPr>
          <w:rFonts w:ascii="Arial" w:hAnsi="Arial" w:cs="Arial"/>
          <w:sz w:val="20"/>
          <w:szCs w:val="20"/>
          <w:lang w:val="pt-BR"/>
        </w:rPr>
        <w:t>BA</w:t>
      </w:r>
      <w:r>
        <w:rPr>
          <w:rFonts w:ascii="Arial" w:hAnsi="Arial" w:cs="Arial"/>
          <w:sz w:val="20"/>
          <w:szCs w:val="20"/>
          <w:lang w:val="pt-BR"/>
        </w:rPr>
        <w:t xml:space="preserve">; </w:t>
      </w:r>
      <w:hyperlink r:id="rId6" w:tgtFrame="_blank" w:history="1">
        <w:r w:rsidRPr="00AE2E60">
          <w:rPr>
            <w:rFonts w:ascii="Arial" w:hAnsi="Arial" w:cs="Arial"/>
            <w:sz w:val="20"/>
            <w:szCs w:val="20"/>
            <w:lang w:val="pt-BR"/>
          </w:rPr>
          <w:t>brunam@fieb.org.br</w:t>
        </w:r>
      </w:hyperlink>
    </w:p>
    <w:p w14:paraId="24F5A140" w14:textId="77777777" w:rsidR="001E33B6" w:rsidRDefault="001E33B6" w:rsidP="001E33B6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7E37DA9B" w14:textId="77777777" w:rsidR="001E33B6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3FCA6727" w14:textId="77777777" w:rsidR="001E33B6" w:rsidRPr="00D3013D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37E3C9DD" w14:textId="18760FB9" w:rsidR="00B21AFE" w:rsidRPr="00B21AFE" w:rsidRDefault="00B21AFE" w:rsidP="00B21AFE">
      <w:pPr>
        <w:spacing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B21AFE">
        <w:rPr>
          <w:rFonts w:ascii="Arial" w:hAnsi="Arial" w:cs="Arial"/>
          <w:sz w:val="18"/>
          <w:szCs w:val="18"/>
          <w:lang w:val="pt-BR"/>
        </w:rPr>
        <w:t xml:space="preserve">A presente prospecção tecnológica teve como objetivo realizar um mapeamento das principais características, evolução das competências tecnológicas, composição </w:t>
      </w:r>
      <w:r w:rsidRPr="00A57E58">
        <w:rPr>
          <w:rFonts w:ascii="Arial" w:hAnsi="Arial" w:cs="Arial"/>
          <w:sz w:val="18"/>
          <w:szCs w:val="18"/>
          <w:lang w:val="pt-BR"/>
        </w:rPr>
        <w:t>e tecnologias aplicadas no desenvolvimento de emulsões lipídicas com aplicação na terapia nutricional parenteral. Para tal</w:t>
      </w:r>
      <w:r w:rsidR="00900CE7" w:rsidRPr="00A57E58">
        <w:rPr>
          <w:rFonts w:ascii="Arial" w:hAnsi="Arial" w:cs="Arial"/>
          <w:sz w:val="18"/>
          <w:szCs w:val="18"/>
          <w:lang w:val="pt-BR"/>
        </w:rPr>
        <w:t>,</w:t>
      </w:r>
      <w:r w:rsidRPr="00A57E58">
        <w:rPr>
          <w:rFonts w:ascii="Arial" w:hAnsi="Arial" w:cs="Arial"/>
          <w:sz w:val="18"/>
          <w:szCs w:val="18"/>
          <w:lang w:val="pt-BR"/>
        </w:rPr>
        <w:t xml:space="preserve"> foi realizada </w:t>
      </w:r>
      <w:r w:rsidR="00900CE7" w:rsidRPr="00A57E58">
        <w:rPr>
          <w:rFonts w:ascii="Arial" w:hAnsi="Arial" w:cs="Arial"/>
          <w:sz w:val="18"/>
          <w:szCs w:val="18"/>
          <w:lang w:val="pt-BR"/>
        </w:rPr>
        <w:t>uma</w:t>
      </w:r>
      <w:r w:rsidRPr="00A57E58">
        <w:rPr>
          <w:rFonts w:ascii="Arial" w:hAnsi="Arial" w:cs="Arial"/>
          <w:sz w:val="18"/>
          <w:szCs w:val="18"/>
          <w:lang w:val="pt-BR"/>
        </w:rPr>
        <w:t xml:space="preserve"> busca de pedidos de patentes utilizando a base de dados da </w:t>
      </w:r>
      <w:proofErr w:type="spellStart"/>
      <w:r w:rsidRPr="00A57E58">
        <w:rPr>
          <w:rFonts w:ascii="Arial" w:hAnsi="Arial" w:cs="Arial"/>
          <w:i/>
          <w:sz w:val="18"/>
          <w:szCs w:val="18"/>
          <w:lang w:val="pt-BR"/>
        </w:rPr>
        <w:t>Derwent</w:t>
      </w:r>
      <w:proofErr w:type="spellEnd"/>
      <w:r w:rsidRPr="00A57E58">
        <w:rPr>
          <w:rFonts w:ascii="Arial" w:hAnsi="Arial" w:cs="Arial"/>
          <w:i/>
          <w:sz w:val="18"/>
          <w:szCs w:val="18"/>
          <w:lang w:val="pt-BR"/>
        </w:rPr>
        <w:t xml:space="preserve"> </w:t>
      </w:r>
      <w:proofErr w:type="spellStart"/>
      <w:r w:rsidRPr="00A57E58">
        <w:rPr>
          <w:rFonts w:ascii="Arial" w:hAnsi="Arial" w:cs="Arial"/>
          <w:i/>
          <w:sz w:val="18"/>
          <w:szCs w:val="18"/>
          <w:lang w:val="pt-BR"/>
        </w:rPr>
        <w:t>Innovation</w:t>
      </w:r>
      <w:proofErr w:type="spellEnd"/>
      <w:r w:rsidRPr="00A57E58">
        <w:rPr>
          <w:rFonts w:ascii="Arial" w:hAnsi="Arial" w:cs="Arial"/>
          <w:sz w:val="18"/>
          <w:szCs w:val="18"/>
          <w:lang w:val="pt-BR"/>
        </w:rPr>
        <w:t xml:space="preserve"> da </w:t>
      </w:r>
      <w:r w:rsidRPr="00A57E58">
        <w:rPr>
          <w:rFonts w:ascii="Arial" w:hAnsi="Arial" w:cs="Arial"/>
          <w:i/>
          <w:sz w:val="18"/>
          <w:szCs w:val="18"/>
          <w:lang w:val="pt-BR"/>
        </w:rPr>
        <w:t xml:space="preserve">Thomson </w:t>
      </w:r>
      <w:proofErr w:type="spellStart"/>
      <w:r w:rsidRPr="00A57E58">
        <w:rPr>
          <w:rFonts w:ascii="Arial" w:hAnsi="Arial" w:cs="Arial"/>
          <w:i/>
          <w:sz w:val="18"/>
          <w:szCs w:val="18"/>
          <w:lang w:val="pt-BR"/>
        </w:rPr>
        <w:t>Innovation</w:t>
      </w:r>
      <w:proofErr w:type="spellEnd"/>
      <w:r w:rsidRPr="00A57E58">
        <w:rPr>
          <w:rFonts w:ascii="Arial" w:hAnsi="Arial" w:cs="Arial"/>
          <w:sz w:val="18"/>
          <w:szCs w:val="18"/>
          <w:lang w:val="pt-BR"/>
        </w:rPr>
        <w:t xml:space="preserve">. Foram recuperados entre os anos de 1974 a 2020 um total de 64 patentes depositas, dados </w:t>
      </w:r>
      <w:r w:rsidR="00900CE7" w:rsidRPr="00A57E58">
        <w:rPr>
          <w:rFonts w:ascii="Arial" w:hAnsi="Arial" w:cs="Arial"/>
          <w:sz w:val="18"/>
          <w:szCs w:val="18"/>
          <w:lang w:val="pt-BR"/>
        </w:rPr>
        <w:t>d</w:t>
      </w:r>
      <w:r w:rsidRPr="00A57E58">
        <w:rPr>
          <w:rFonts w:ascii="Arial" w:hAnsi="Arial" w:cs="Arial"/>
          <w:sz w:val="18"/>
          <w:szCs w:val="18"/>
          <w:lang w:val="pt-BR"/>
        </w:rPr>
        <w:t xml:space="preserve">a evolução anual constata que a tecnologia está em uma etapa de acumulação de conhecimento, onde o número de patentes depositadas ainda é reduzido. Considerando a análise de mercado, o Brasil, configura-se como um país de baixa influência na referida </w:t>
      </w:r>
      <w:r w:rsidRPr="00B21AFE">
        <w:rPr>
          <w:rFonts w:ascii="Arial" w:hAnsi="Arial" w:cs="Arial"/>
          <w:sz w:val="18"/>
          <w:szCs w:val="18"/>
          <w:lang w:val="pt-BR"/>
        </w:rPr>
        <w:t>tecnologia e praticamente nulo no que se refere à produção e apropriação do conhecimento nesse setor. Deste modo, evidencia-se a imprescindível necessidade de ampliação em pesquisas nessa área, considerando que a quantidade de patentes depositadas, no âmbito nacional e internacional, fo</w:t>
      </w:r>
      <w:r w:rsidR="004537C6">
        <w:rPr>
          <w:rFonts w:ascii="Arial" w:hAnsi="Arial" w:cs="Arial"/>
          <w:sz w:val="18"/>
          <w:szCs w:val="18"/>
          <w:lang w:val="pt-BR"/>
        </w:rPr>
        <w:t>i</w:t>
      </w:r>
      <w:r w:rsidRPr="00B21AFE">
        <w:rPr>
          <w:rFonts w:ascii="Arial" w:hAnsi="Arial" w:cs="Arial"/>
          <w:sz w:val="18"/>
          <w:szCs w:val="18"/>
          <w:lang w:val="pt-BR"/>
        </w:rPr>
        <w:t xml:space="preserve"> expressivamente reduzida.</w:t>
      </w:r>
    </w:p>
    <w:p w14:paraId="38C3E8AB" w14:textId="77777777" w:rsidR="00B21AFE" w:rsidRPr="00B21AFE" w:rsidRDefault="00B21AFE" w:rsidP="00B21AFE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B21AFE">
        <w:rPr>
          <w:rFonts w:ascii="Arial" w:hAnsi="Arial" w:cs="Arial"/>
          <w:b/>
          <w:sz w:val="18"/>
          <w:szCs w:val="18"/>
          <w:lang w:val="pt-BR"/>
        </w:rPr>
        <w:t>PALAVRAS-CHAVE:</w:t>
      </w:r>
      <w:r w:rsidRPr="00B21AFE">
        <w:rPr>
          <w:rFonts w:ascii="Arial" w:hAnsi="Arial" w:cs="Arial"/>
          <w:sz w:val="18"/>
          <w:szCs w:val="18"/>
          <w:lang w:val="pt-BR"/>
        </w:rPr>
        <w:t xml:space="preserve"> Emulsões lipídicas parenterais; entrega de nutrientes; propriedade intelectual; terapia nutricional;   </w:t>
      </w:r>
    </w:p>
    <w:p w14:paraId="27D99BDE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23D5A27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66B88772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75A82A29" w14:textId="1C48DEEF" w:rsidR="00B21AFE" w:rsidRPr="009C589E" w:rsidRDefault="00B21AFE" w:rsidP="00B21AFE">
      <w:pPr>
        <w:spacing w:after="0" w:line="240" w:lineRule="auto"/>
        <w:ind w:firstLine="708"/>
        <w:jc w:val="both"/>
        <w:rPr>
          <w:rFonts w:ascii="Arial" w:hAnsi="Arial"/>
          <w:sz w:val="20"/>
          <w:lang w:val="pt-BR"/>
        </w:rPr>
      </w:pPr>
      <w:r w:rsidRPr="009C589E">
        <w:rPr>
          <w:rFonts w:ascii="Arial" w:hAnsi="Arial"/>
          <w:sz w:val="20"/>
          <w:lang w:val="pt-BR"/>
        </w:rPr>
        <w:t xml:space="preserve">A Terapia Nutricional Parenteral (TNP) consiste na infusão intravenosa de nutriente, é caracterizada por uma solução ou emulsão composta por </w:t>
      </w:r>
      <w:proofErr w:type="spellStart"/>
      <w:r w:rsidRPr="009C589E">
        <w:rPr>
          <w:rFonts w:ascii="Arial" w:hAnsi="Arial"/>
          <w:sz w:val="20"/>
          <w:lang w:val="pt-BR"/>
        </w:rPr>
        <w:t>macronutrientes</w:t>
      </w:r>
      <w:proofErr w:type="spellEnd"/>
      <w:r w:rsidRPr="009C589E">
        <w:rPr>
          <w:rFonts w:ascii="Arial" w:hAnsi="Arial"/>
          <w:sz w:val="20"/>
          <w:lang w:val="pt-BR"/>
        </w:rPr>
        <w:t xml:space="preserve"> e micronutrientes sendo estéril e </w:t>
      </w:r>
      <w:proofErr w:type="spellStart"/>
      <w:r w:rsidRPr="009C589E">
        <w:rPr>
          <w:rFonts w:ascii="Arial" w:hAnsi="Arial"/>
          <w:sz w:val="20"/>
          <w:lang w:val="pt-BR"/>
        </w:rPr>
        <w:t>apirogênica</w:t>
      </w:r>
      <w:proofErr w:type="spellEnd"/>
      <w:r w:rsidRPr="009C589E">
        <w:rPr>
          <w:rFonts w:ascii="Arial" w:hAnsi="Arial"/>
          <w:sz w:val="20"/>
          <w:lang w:val="pt-BR"/>
        </w:rPr>
        <w:t xml:space="preserve">, que visa à síntese ou manutenção dos tecidos, órgãos </w:t>
      </w:r>
      <w:r w:rsidR="00A10F98">
        <w:rPr>
          <w:rFonts w:ascii="Arial" w:hAnsi="Arial"/>
          <w:sz w:val="20"/>
          <w:lang w:val="pt-BR"/>
        </w:rPr>
        <w:t xml:space="preserve">e </w:t>
      </w:r>
      <w:r w:rsidRPr="009C589E">
        <w:rPr>
          <w:rFonts w:ascii="Arial" w:hAnsi="Arial"/>
          <w:sz w:val="20"/>
          <w:lang w:val="pt-BR"/>
        </w:rPr>
        <w:t>sistemas.</w:t>
      </w:r>
      <w:r w:rsidRPr="009C589E">
        <w:rPr>
          <w:rFonts w:ascii="Arial" w:hAnsi="Arial" w:cs="Arial"/>
          <w:sz w:val="20"/>
          <w:vertAlign w:val="superscript"/>
          <w:lang w:val="pt-BR"/>
        </w:rPr>
        <w:t xml:space="preserve"> 1</w:t>
      </w:r>
      <w:r w:rsidRPr="009C589E">
        <w:rPr>
          <w:rFonts w:ascii="Arial" w:hAnsi="Arial"/>
          <w:sz w:val="20"/>
          <w:lang w:val="pt-BR"/>
        </w:rPr>
        <w:t xml:space="preserve">  Nesse sentido, na TNP os ácidos graxos (AG) são fornecidos através de emulsões lipídicas parenterais (ELP), que se constituem como um sistema de liberação </w:t>
      </w:r>
      <w:proofErr w:type="spellStart"/>
      <w:r w:rsidRPr="009C589E">
        <w:rPr>
          <w:rFonts w:ascii="Arial" w:hAnsi="Arial"/>
          <w:sz w:val="20"/>
          <w:lang w:val="pt-BR"/>
        </w:rPr>
        <w:t>nanotecnológico</w:t>
      </w:r>
      <w:proofErr w:type="spellEnd"/>
      <w:r w:rsidRPr="009C589E">
        <w:rPr>
          <w:rFonts w:ascii="Arial" w:hAnsi="Arial"/>
          <w:sz w:val="20"/>
          <w:lang w:val="pt-BR"/>
        </w:rPr>
        <w:t xml:space="preserve"> complexo, que contém ácidos graxos essenciais (AGE), fosfolipídios, são transportadores de vitaminas lipossolúveis, são fonte de energia de alta densidade, </w:t>
      </w:r>
      <w:r w:rsidRPr="00BD6A89">
        <w:rPr>
          <w:rFonts w:ascii="Arial" w:hAnsi="Arial"/>
          <w:sz w:val="20"/>
          <w:lang w:val="pt-BR"/>
        </w:rPr>
        <w:t>diferenciam-se quanto à quantidade, tipo e fonte de AG</w:t>
      </w:r>
      <w:r w:rsidRPr="009C589E">
        <w:rPr>
          <w:rFonts w:ascii="Arial" w:hAnsi="Arial"/>
          <w:sz w:val="20"/>
          <w:lang w:val="pt-BR"/>
        </w:rPr>
        <w:t>, estes exercem uma influência de maneira distinta no sistema imune e inflamatório,</w:t>
      </w:r>
      <w:r w:rsidRPr="009C589E">
        <w:rPr>
          <w:rFonts w:ascii="Arial" w:hAnsi="Arial"/>
          <w:sz w:val="20"/>
          <w:vertAlign w:val="superscript"/>
          <w:lang w:val="pt-BR"/>
        </w:rPr>
        <w:t>2</w:t>
      </w:r>
      <w:r w:rsidRPr="009C589E">
        <w:rPr>
          <w:rFonts w:ascii="Arial" w:hAnsi="Arial"/>
          <w:sz w:val="20"/>
          <w:lang w:val="pt-BR"/>
        </w:rPr>
        <w:t xml:space="preserve"> dessa forma, possui um papel muito importante no prognostico de pacientes. </w:t>
      </w:r>
    </w:p>
    <w:p w14:paraId="4F66520B" w14:textId="55017DDD" w:rsidR="00B21AFE" w:rsidRPr="009C589E" w:rsidRDefault="00B21AFE" w:rsidP="00B21AFE">
      <w:pPr>
        <w:spacing w:after="0" w:line="240" w:lineRule="auto"/>
        <w:ind w:firstLine="708"/>
        <w:jc w:val="both"/>
        <w:rPr>
          <w:rFonts w:ascii="Arial" w:hAnsi="Arial"/>
          <w:sz w:val="20"/>
          <w:lang w:val="pt-BR"/>
        </w:rPr>
      </w:pPr>
      <w:r w:rsidRPr="009C589E">
        <w:rPr>
          <w:rFonts w:ascii="Arial" w:hAnsi="Arial"/>
          <w:sz w:val="20"/>
          <w:lang w:val="pt-BR"/>
        </w:rPr>
        <w:t>É importante salientar que formulações lipídicas estão inseridas em um mercado global de nutrição parenteral que deverá movimentar em 2024 até USD 4,39 bilhões.</w:t>
      </w:r>
      <w:r w:rsidRPr="009C589E">
        <w:rPr>
          <w:rFonts w:ascii="Arial" w:hAnsi="Arial"/>
          <w:sz w:val="20"/>
          <w:vertAlign w:val="superscript"/>
          <w:lang w:val="pt-BR"/>
        </w:rPr>
        <w:t>3</w:t>
      </w:r>
      <w:r w:rsidRPr="009C589E">
        <w:rPr>
          <w:rFonts w:ascii="Arial" w:hAnsi="Arial"/>
          <w:sz w:val="20"/>
          <w:lang w:val="pt-BR"/>
        </w:rPr>
        <w:t xml:space="preserve"> Nos últimos anos os processos produtivos de EL passaram por muitos aprimoramentos e investimentos tecnológico, bem como, houve um aumento das necessidades de tecnologias inovadoras.</w:t>
      </w:r>
      <w:r w:rsidRPr="009C589E">
        <w:rPr>
          <w:rFonts w:ascii="Arial" w:hAnsi="Arial"/>
          <w:sz w:val="20"/>
          <w:vertAlign w:val="superscript"/>
          <w:lang w:val="pt-BR"/>
        </w:rPr>
        <w:t xml:space="preserve">4 </w:t>
      </w:r>
      <w:r w:rsidRPr="009C589E">
        <w:rPr>
          <w:rFonts w:ascii="Arial" w:hAnsi="Arial"/>
          <w:sz w:val="20"/>
          <w:lang w:val="pt-BR"/>
        </w:rPr>
        <w:t xml:space="preserve">Diante desses aspectos, apesar do expressivo crescimento deste mercado, o Brasil ainda não é detentor da tecnologia de produção de emulsão lipídica (EL) aplicadas nutrição parenteral. </w:t>
      </w:r>
      <w:r w:rsidR="00E62345">
        <w:rPr>
          <w:rFonts w:ascii="Arial" w:hAnsi="Arial"/>
          <w:sz w:val="20"/>
          <w:lang w:val="pt-BR"/>
        </w:rPr>
        <w:t>Ressaltar, que u</w:t>
      </w:r>
      <w:r w:rsidRPr="009C589E">
        <w:rPr>
          <w:rFonts w:ascii="Arial" w:hAnsi="Arial"/>
          <w:sz w:val="20"/>
          <w:lang w:val="pt-BR"/>
        </w:rPr>
        <w:t>m volume expressivo dos produtos disponíveis no mercado brasileiro é importado.</w:t>
      </w:r>
      <w:r w:rsidRPr="009C589E">
        <w:rPr>
          <w:rFonts w:ascii="Arial" w:hAnsi="Arial"/>
          <w:sz w:val="20"/>
          <w:vertAlign w:val="superscript"/>
          <w:lang w:val="pt-BR"/>
        </w:rPr>
        <w:t>5</w:t>
      </w:r>
      <w:r w:rsidRPr="009C589E">
        <w:rPr>
          <w:rFonts w:ascii="Arial" w:hAnsi="Arial"/>
          <w:sz w:val="20"/>
          <w:lang w:val="pt-BR"/>
        </w:rPr>
        <w:t>Esse cenário requer mudanças emergências, tendo em vista que a TNP representa uma parte importante dos custos no tratamento de indivíduos hospitalizados.</w:t>
      </w:r>
      <w:r w:rsidRPr="009C589E">
        <w:rPr>
          <w:rFonts w:ascii="Arial" w:hAnsi="Arial"/>
          <w:sz w:val="20"/>
          <w:vertAlign w:val="superscript"/>
          <w:lang w:val="pt-BR"/>
        </w:rPr>
        <w:t>6</w:t>
      </w:r>
    </w:p>
    <w:p w14:paraId="2366403F" w14:textId="77777777" w:rsidR="00B21AFE" w:rsidRDefault="00B21AFE" w:rsidP="00454A12">
      <w:pPr>
        <w:spacing w:after="0" w:line="240" w:lineRule="auto"/>
        <w:ind w:firstLine="708"/>
        <w:jc w:val="both"/>
        <w:rPr>
          <w:rFonts w:ascii="Arial" w:hAnsi="Arial"/>
          <w:sz w:val="20"/>
          <w:lang w:val="pt-BR"/>
        </w:rPr>
      </w:pPr>
      <w:r w:rsidRPr="009C589E">
        <w:rPr>
          <w:rFonts w:ascii="Arial" w:hAnsi="Arial"/>
          <w:sz w:val="20"/>
          <w:lang w:val="pt-BR"/>
        </w:rPr>
        <w:t xml:space="preserve">Nessa perspectiva, a prospecção tecnológica baseia-se na busca de documento de patentes e pode ser entendida como um método de mapeando do desenvolvimento de tecnologia, identificando novos mercados, ou rastreando o uso de tecnologia em uma área específica </w:t>
      </w:r>
      <w:r w:rsidRPr="009C589E">
        <w:rPr>
          <w:rFonts w:ascii="Arial" w:hAnsi="Arial"/>
          <w:sz w:val="20"/>
          <w:vertAlign w:val="superscript"/>
          <w:lang w:val="pt-BR"/>
        </w:rPr>
        <w:t xml:space="preserve">6 </w:t>
      </w:r>
      <w:r w:rsidRPr="009C589E">
        <w:rPr>
          <w:rFonts w:ascii="Arial" w:hAnsi="Arial"/>
          <w:sz w:val="20"/>
          <w:lang w:val="pt-BR"/>
        </w:rPr>
        <w:t>,assim é um facilitador no processo de tomada de decisão, pois pode promover a apropriação com qualidade da propriedade intelectual e, ao mesmo tempo, melhorar a gestão da inovação na medida em que possibilita aumentar a percepção de gargalos nos mais variados campos científicos e tecnológicos.</w:t>
      </w:r>
      <w:r w:rsidRPr="009C589E">
        <w:rPr>
          <w:rFonts w:ascii="Arial" w:hAnsi="Arial"/>
          <w:sz w:val="20"/>
          <w:vertAlign w:val="superscript"/>
          <w:lang w:val="pt-BR"/>
        </w:rPr>
        <w:t xml:space="preserve"> </w:t>
      </w:r>
      <w:r w:rsidRPr="009C589E">
        <w:rPr>
          <w:rFonts w:ascii="Arial" w:hAnsi="Arial"/>
          <w:sz w:val="20"/>
          <w:lang w:val="pt-BR"/>
        </w:rPr>
        <w:t xml:space="preserve">Em todo o mundo, as patentes têm sido reconhecidas como ricas fontes de dados para análise de vantagem competitiva, previsão de tecnologia </w:t>
      </w:r>
      <w:proofErr w:type="spellStart"/>
      <w:r w:rsidRPr="009C589E">
        <w:rPr>
          <w:rFonts w:ascii="Arial" w:hAnsi="Arial"/>
          <w:sz w:val="20"/>
          <w:lang w:val="pt-BR"/>
        </w:rPr>
        <w:t>disruptiva</w:t>
      </w:r>
      <w:proofErr w:type="spellEnd"/>
      <w:r w:rsidRPr="009C589E">
        <w:rPr>
          <w:rFonts w:ascii="Arial" w:hAnsi="Arial"/>
          <w:sz w:val="20"/>
          <w:lang w:val="pt-BR"/>
        </w:rPr>
        <w:t xml:space="preserve"> e gerenciamento global para portfólios de invenção. Devido à alta perspectiva de patentes como indicador chave de numerosas medidas de desenvolvimento de tecnologia e como escala econômica, a análise de patentes é muito importante para entidades corporativas, bem como significativa para o estudo </w:t>
      </w:r>
      <w:r w:rsidRPr="006E13C8">
        <w:rPr>
          <w:rFonts w:ascii="Arial" w:hAnsi="Arial"/>
          <w:sz w:val="20"/>
          <w:lang w:val="pt-BR"/>
        </w:rPr>
        <w:t>acadêmico.</w:t>
      </w:r>
      <w:r w:rsidRPr="006E13C8">
        <w:rPr>
          <w:rFonts w:ascii="Arial" w:hAnsi="Arial"/>
          <w:sz w:val="20"/>
          <w:vertAlign w:val="superscript"/>
          <w:lang w:val="pt-BR"/>
        </w:rPr>
        <w:t>7</w:t>
      </w:r>
      <w:r>
        <w:rPr>
          <w:rFonts w:ascii="Arial" w:hAnsi="Arial"/>
          <w:sz w:val="20"/>
          <w:vertAlign w:val="superscript"/>
          <w:lang w:val="pt-BR"/>
        </w:rPr>
        <w:t xml:space="preserve"> </w:t>
      </w:r>
      <w:r w:rsidRPr="009C589E">
        <w:rPr>
          <w:rFonts w:ascii="Arial" w:hAnsi="Arial"/>
          <w:sz w:val="20"/>
          <w:lang w:val="pt-BR"/>
        </w:rPr>
        <w:t>O presente estudo, portanto, visa avaliar a principais características, evolução das competências tecnológicas, composição e tecnologia aplicadas no desenvolvimento de emulsões lipídicas aplicadas na terapia nutricional parenteral, bem como os principais países que detêm esta tecnologia, através da análise de documentos de patentes disponíveis mundialmente</w:t>
      </w:r>
      <w:r>
        <w:rPr>
          <w:rFonts w:ascii="Arial" w:hAnsi="Arial"/>
          <w:sz w:val="20"/>
          <w:lang w:val="pt-BR"/>
        </w:rPr>
        <w:t>.</w:t>
      </w:r>
    </w:p>
    <w:p w14:paraId="038EEF8D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D88AFDE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14:paraId="1FCFA19B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E783C2C" w14:textId="6955BBBA" w:rsidR="00454A12" w:rsidRDefault="00454A12" w:rsidP="00454A1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9C589E">
        <w:rPr>
          <w:rFonts w:ascii="Arial" w:hAnsi="Arial" w:cs="Arial"/>
          <w:sz w:val="20"/>
          <w:szCs w:val="20"/>
          <w:lang w:val="pt-BR"/>
        </w:rPr>
        <w:t xml:space="preserve">Este estudo utilizou o </w:t>
      </w:r>
      <w:proofErr w:type="spellStart"/>
      <w:r w:rsidRPr="009C589E">
        <w:rPr>
          <w:rFonts w:ascii="Arial" w:hAnsi="Arial" w:cs="Arial"/>
          <w:i/>
          <w:sz w:val="20"/>
          <w:szCs w:val="20"/>
          <w:lang w:val="pt-BR"/>
        </w:rPr>
        <w:t>Derwent</w:t>
      </w:r>
      <w:proofErr w:type="spellEnd"/>
      <w:r w:rsidRPr="009C589E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9C589E">
        <w:rPr>
          <w:rFonts w:ascii="Arial" w:hAnsi="Arial" w:cs="Arial"/>
          <w:i/>
          <w:sz w:val="20"/>
          <w:szCs w:val="20"/>
          <w:lang w:val="pt-BR"/>
        </w:rPr>
        <w:t>Innovation</w:t>
      </w:r>
      <w:proofErr w:type="spellEnd"/>
      <w:r w:rsidRPr="009C589E">
        <w:rPr>
          <w:rFonts w:ascii="Arial" w:hAnsi="Arial" w:cs="Arial"/>
          <w:sz w:val="20"/>
          <w:szCs w:val="20"/>
          <w:lang w:val="pt-BR"/>
        </w:rPr>
        <w:t xml:space="preserve"> da </w:t>
      </w:r>
      <w:r w:rsidRPr="009C589E">
        <w:rPr>
          <w:rFonts w:ascii="Arial" w:hAnsi="Arial" w:cs="Arial"/>
          <w:i/>
          <w:sz w:val="20"/>
          <w:szCs w:val="20"/>
          <w:lang w:val="pt-BR"/>
        </w:rPr>
        <w:t xml:space="preserve">Thomson </w:t>
      </w:r>
      <w:proofErr w:type="spellStart"/>
      <w:r w:rsidRPr="009C589E">
        <w:rPr>
          <w:rFonts w:ascii="Arial" w:hAnsi="Arial" w:cs="Arial"/>
          <w:i/>
          <w:sz w:val="20"/>
          <w:szCs w:val="20"/>
          <w:lang w:val="pt-BR"/>
        </w:rPr>
        <w:t>Innovation</w:t>
      </w:r>
      <w:proofErr w:type="spellEnd"/>
      <w:r w:rsidRPr="009C589E">
        <w:rPr>
          <w:rFonts w:ascii="Arial" w:hAnsi="Arial" w:cs="Arial"/>
          <w:sz w:val="20"/>
          <w:szCs w:val="20"/>
          <w:lang w:val="pt-BR"/>
        </w:rPr>
        <w:t xml:space="preserve"> © para realizar a busca por documentos de patentes através da opção da ferramenta ‘</w:t>
      </w:r>
      <w:proofErr w:type="spellStart"/>
      <w:r w:rsidRPr="009C589E">
        <w:rPr>
          <w:rFonts w:ascii="Arial" w:hAnsi="Arial" w:cs="Arial"/>
          <w:i/>
          <w:sz w:val="20"/>
          <w:szCs w:val="20"/>
          <w:lang w:val="pt-BR"/>
        </w:rPr>
        <w:t>Smart</w:t>
      </w:r>
      <w:proofErr w:type="spellEnd"/>
      <w:r w:rsidRPr="009C589E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9C589E">
        <w:rPr>
          <w:rFonts w:ascii="Arial" w:hAnsi="Arial" w:cs="Arial"/>
          <w:i/>
          <w:sz w:val="20"/>
          <w:szCs w:val="20"/>
          <w:lang w:val="pt-BR"/>
        </w:rPr>
        <w:t>Search-Topic</w:t>
      </w:r>
      <w:proofErr w:type="spellEnd"/>
      <w:r w:rsidRPr="009C589E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®’. A busca foi limitada à </w:t>
      </w:r>
      <w:r w:rsidRPr="009C589E">
        <w:rPr>
          <w:rFonts w:ascii="Arial" w:hAnsi="Arial" w:cs="Arial"/>
          <w:sz w:val="20"/>
          <w:szCs w:val="20"/>
          <w:lang w:val="pt-BR"/>
        </w:rPr>
        <w:lastRenderedPageBreak/>
        <w:t>presença das palavras-chave descritas em inglês, listadas nos títulos, resumos e / ou reivindicações dos documentos da base de dado selecionada, como pode ser visualizado na Tabela 1.</w:t>
      </w:r>
    </w:p>
    <w:p w14:paraId="35A92240" w14:textId="77777777" w:rsidR="00454A12" w:rsidRPr="009C589E" w:rsidRDefault="00454A12" w:rsidP="00454A1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9C589E">
        <w:rPr>
          <w:rFonts w:ascii="Arial" w:hAnsi="Arial" w:cs="Arial"/>
          <w:b/>
          <w:sz w:val="20"/>
          <w:szCs w:val="20"/>
          <w:lang w:val="pt-BR"/>
        </w:rPr>
        <w:t>Tabela 1.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Sumarização da estratégia dos descritores selecionados para as buscas </w:t>
      </w: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6044"/>
      </w:tblGrid>
      <w:tr w:rsidR="00454A12" w:rsidRPr="009C589E" w14:paraId="35FDFE1B" w14:textId="77777777" w:rsidTr="00415B89">
        <w:trPr>
          <w:trHeight w:val="137"/>
        </w:trPr>
        <w:tc>
          <w:tcPr>
            <w:tcW w:w="3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14:paraId="3493C8EB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A740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Busca </w:t>
            </w:r>
          </w:p>
        </w:tc>
        <w:tc>
          <w:tcPr>
            <w:tcW w:w="6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14:paraId="248FA6C8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A740A">
              <w:rPr>
                <w:rFonts w:ascii="Arial" w:hAnsi="Arial" w:cs="Arial"/>
                <w:b/>
                <w:sz w:val="18"/>
                <w:szCs w:val="18"/>
                <w:lang w:val="pt-BR"/>
              </w:rPr>
              <w:t>Termos de palavra-chave</w:t>
            </w:r>
          </w:p>
        </w:tc>
      </w:tr>
      <w:tr w:rsidR="00454A12" w:rsidRPr="009C589E" w14:paraId="40604929" w14:textId="77777777" w:rsidTr="00415B89">
        <w:trPr>
          <w:trHeight w:val="268"/>
        </w:trPr>
        <w:tc>
          <w:tcPr>
            <w:tcW w:w="3716" w:type="dxa"/>
            <w:shd w:val="solid" w:color="FFFFFF" w:fill="auto"/>
            <w:hideMark/>
          </w:tcPr>
          <w:p w14:paraId="6C0A152B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A740A">
              <w:rPr>
                <w:rFonts w:ascii="Arial" w:hAnsi="Arial" w:cs="Arial"/>
                <w:sz w:val="18"/>
                <w:szCs w:val="18"/>
                <w:lang w:val="pt-BR"/>
              </w:rPr>
              <w:t>Título / Resumo/reivindicações</w:t>
            </w:r>
          </w:p>
        </w:tc>
        <w:tc>
          <w:tcPr>
            <w:tcW w:w="6044" w:type="dxa"/>
            <w:shd w:val="solid" w:color="FFFFFF" w:fill="auto"/>
            <w:hideMark/>
          </w:tcPr>
          <w:p w14:paraId="59DAF7C6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40A">
              <w:rPr>
                <w:rFonts w:ascii="Arial" w:hAnsi="Arial" w:cs="Arial"/>
                <w:sz w:val="18"/>
                <w:szCs w:val="18"/>
              </w:rPr>
              <w:t>((Emulsion OR Lipid) AND (Parenteral ADJ Administration))</w:t>
            </w:r>
          </w:p>
        </w:tc>
      </w:tr>
      <w:tr w:rsidR="00454A12" w:rsidRPr="009C589E" w14:paraId="4276ABDC" w14:textId="77777777" w:rsidTr="00415B89">
        <w:trPr>
          <w:trHeight w:val="375"/>
        </w:trPr>
        <w:tc>
          <w:tcPr>
            <w:tcW w:w="3716" w:type="dxa"/>
            <w:shd w:val="solid" w:color="FFFFFF" w:fill="auto"/>
            <w:hideMark/>
          </w:tcPr>
          <w:p w14:paraId="48E388C1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A740A">
              <w:rPr>
                <w:rFonts w:ascii="Arial" w:hAnsi="Arial" w:cs="Arial"/>
                <w:sz w:val="18"/>
                <w:szCs w:val="18"/>
                <w:lang w:val="pt-BR"/>
              </w:rPr>
              <w:t>Texto</w:t>
            </w:r>
          </w:p>
        </w:tc>
        <w:tc>
          <w:tcPr>
            <w:tcW w:w="6044" w:type="dxa"/>
            <w:vMerge w:val="restart"/>
            <w:shd w:val="solid" w:color="FFFFFF" w:fill="auto"/>
            <w:hideMark/>
          </w:tcPr>
          <w:p w14:paraId="5C022C4D" w14:textId="77777777" w:rsidR="00454A12" w:rsidRPr="00A82FDE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A82FDE">
              <w:rPr>
                <w:rFonts w:ascii="Arial" w:hAnsi="Arial" w:cs="Arial"/>
                <w:sz w:val="18"/>
                <w:szCs w:val="18"/>
                <w:lang w:val="es-EC"/>
              </w:rPr>
              <w:t>((</w:t>
            </w:r>
            <w:proofErr w:type="spellStart"/>
            <w:r w:rsidRPr="00A82FDE">
              <w:rPr>
                <w:rFonts w:ascii="Arial" w:hAnsi="Arial" w:cs="Arial"/>
                <w:sz w:val="18"/>
                <w:szCs w:val="18"/>
                <w:lang w:val="es-EC"/>
              </w:rPr>
              <w:t>Lipídios</w:t>
            </w:r>
            <w:proofErr w:type="spellEnd"/>
            <w:r w:rsidRPr="00A82FDE">
              <w:rPr>
                <w:rFonts w:ascii="Arial" w:hAnsi="Arial" w:cs="Arial"/>
                <w:sz w:val="18"/>
                <w:szCs w:val="18"/>
                <w:lang w:val="es-EC"/>
              </w:rPr>
              <w:t xml:space="preserve"> AND Parenteral ADJ </w:t>
            </w:r>
            <w:proofErr w:type="spellStart"/>
            <w:r w:rsidRPr="00A82FDE">
              <w:rPr>
                <w:rFonts w:ascii="Arial" w:hAnsi="Arial" w:cs="Arial"/>
                <w:sz w:val="18"/>
                <w:szCs w:val="18"/>
                <w:lang w:val="es-EC"/>
              </w:rPr>
              <w:t>nutrition</w:t>
            </w:r>
            <w:proofErr w:type="spellEnd"/>
            <w:r w:rsidRPr="00A82FDE">
              <w:rPr>
                <w:rFonts w:ascii="Arial" w:hAnsi="Arial" w:cs="Arial"/>
                <w:sz w:val="18"/>
                <w:szCs w:val="18"/>
                <w:lang w:val="es-EC"/>
              </w:rPr>
              <w:t>))</w:t>
            </w:r>
          </w:p>
          <w:p w14:paraId="5A6A7E28" w14:textId="77777777" w:rsidR="00454A12" w:rsidRPr="00A82FDE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CA740A">
              <w:rPr>
                <w:rFonts w:ascii="Arial" w:hAnsi="Arial" w:cs="Arial"/>
                <w:sz w:val="18"/>
                <w:szCs w:val="18"/>
              </w:rPr>
              <w:t xml:space="preserve">(Delivery ADJ Nutrients OR </w:t>
            </w:r>
            <w:proofErr w:type="spellStart"/>
            <w:r w:rsidRPr="00CA740A">
              <w:rPr>
                <w:rFonts w:ascii="Arial" w:hAnsi="Arial" w:cs="Arial"/>
                <w:sz w:val="18"/>
                <w:szCs w:val="18"/>
              </w:rPr>
              <w:t>Emultion</w:t>
            </w:r>
            <w:proofErr w:type="spellEnd"/>
            <w:r w:rsidRPr="00CA740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54A12" w:rsidRPr="009C589E" w14:paraId="1C2DEFF5" w14:textId="77777777" w:rsidTr="00415B89">
        <w:trPr>
          <w:trHeight w:val="207"/>
        </w:trPr>
        <w:tc>
          <w:tcPr>
            <w:tcW w:w="3716" w:type="dxa"/>
            <w:vMerge w:val="restart"/>
            <w:shd w:val="solid" w:color="FFFFFF" w:fill="auto"/>
          </w:tcPr>
          <w:p w14:paraId="5DABDCE7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A740A">
              <w:rPr>
                <w:rFonts w:ascii="Arial" w:hAnsi="Arial" w:cs="Arial"/>
                <w:sz w:val="18"/>
                <w:szCs w:val="18"/>
                <w:lang w:val="pt-BR"/>
              </w:rPr>
              <w:t>Ano de publicação</w:t>
            </w:r>
          </w:p>
        </w:tc>
        <w:tc>
          <w:tcPr>
            <w:tcW w:w="6044" w:type="dxa"/>
            <w:vMerge/>
            <w:shd w:val="solid" w:color="FFFFFF" w:fill="auto"/>
            <w:hideMark/>
          </w:tcPr>
          <w:p w14:paraId="25467CC9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A12" w:rsidRPr="009C589E" w14:paraId="1007CB54" w14:textId="77777777" w:rsidTr="00415B89">
        <w:trPr>
          <w:trHeight w:val="128"/>
        </w:trPr>
        <w:tc>
          <w:tcPr>
            <w:tcW w:w="3716" w:type="dxa"/>
            <w:vMerge/>
            <w:tcBorders>
              <w:bottom w:val="single" w:sz="6" w:space="0" w:color="auto"/>
            </w:tcBorders>
            <w:shd w:val="solid" w:color="FFFFFF" w:fill="auto"/>
            <w:hideMark/>
          </w:tcPr>
          <w:p w14:paraId="295B41AD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4" w:type="dxa"/>
            <w:tcBorders>
              <w:top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14:paraId="2CF3621D" w14:textId="77777777" w:rsidR="00454A12" w:rsidRPr="00CA740A" w:rsidRDefault="00454A12" w:rsidP="0041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A740A">
              <w:rPr>
                <w:rFonts w:ascii="Arial" w:hAnsi="Arial" w:cs="Arial"/>
                <w:sz w:val="18"/>
                <w:szCs w:val="18"/>
                <w:lang w:val="pt-BR"/>
              </w:rPr>
              <w:t>1960 -2020</w:t>
            </w:r>
          </w:p>
        </w:tc>
      </w:tr>
    </w:tbl>
    <w:p w14:paraId="1610125C" w14:textId="77777777" w:rsidR="00454A12" w:rsidRPr="009C589E" w:rsidRDefault="00454A12" w:rsidP="00454A12">
      <w:pPr>
        <w:spacing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9C589E">
        <w:rPr>
          <w:rFonts w:ascii="Arial" w:hAnsi="Arial" w:cs="Arial"/>
          <w:sz w:val="20"/>
          <w:szCs w:val="20"/>
          <w:lang w:val="pt-BR"/>
        </w:rPr>
        <w:t>Fonte: Autoria própria (2020)</w:t>
      </w:r>
    </w:p>
    <w:p w14:paraId="019D19C9" w14:textId="671ECF6C" w:rsidR="00454A12" w:rsidRPr="00EE55FA" w:rsidRDefault="00454A12" w:rsidP="00454A12">
      <w:pPr>
        <w:spacing w:line="240" w:lineRule="auto"/>
        <w:ind w:firstLine="709"/>
        <w:jc w:val="both"/>
        <w:rPr>
          <w:rFonts w:ascii="Arial" w:hAnsi="Arial" w:cs="Arial"/>
          <w:strike/>
          <w:sz w:val="20"/>
          <w:szCs w:val="20"/>
          <w:lang w:val="pt-BR"/>
        </w:rPr>
      </w:pPr>
      <w:r w:rsidRPr="009C589E">
        <w:rPr>
          <w:rFonts w:ascii="Arial" w:hAnsi="Arial" w:cs="Arial"/>
          <w:sz w:val="20"/>
          <w:szCs w:val="20"/>
          <w:lang w:val="pt-BR"/>
        </w:rPr>
        <w:t xml:space="preserve">A coleta de dados foi realizada em novembro de 2020. Os dados foram extraídos e analisados ​​utilizando o </w:t>
      </w:r>
      <w:r w:rsidR="00E62345">
        <w:rPr>
          <w:rFonts w:ascii="Arial" w:hAnsi="Arial" w:cs="Arial"/>
          <w:sz w:val="20"/>
          <w:szCs w:val="20"/>
          <w:lang w:val="pt-BR"/>
        </w:rPr>
        <w:t xml:space="preserve">Programa </w:t>
      </w:r>
      <w:r w:rsidRPr="009C589E">
        <w:rPr>
          <w:rFonts w:ascii="Arial" w:hAnsi="Arial" w:cs="Arial"/>
          <w:i/>
          <w:sz w:val="20"/>
          <w:szCs w:val="20"/>
          <w:lang w:val="pt-BR"/>
        </w:rPr>
        <w:t>Microsoft</w:t>
      </w:r>
      <w:r w:rsidR="00E62345">
        <w:rPr>
          <w:rFonts w:ascii="Arial" w:hAnsi="Arial" w:cs="Arial"/>
          <w:sz w:val="20"/>
          <w:szCs w:val="20"/>
          <w:lang w:val="pt-BR"/>
        </w:rPr>
        <w:t xml:space="preserve"> </w:t>
      </w:r>
      <w:r w:rsidRPr="009C589E">
        <w:rPr>
          <w:rFonts w:ascii="Arial" w:hAnsi="Arial" w:cs="Arial"/>
          <w:i/>
          <w:sz w:val="20"/>
          <w:szCs w:val="20"/>
          <w:lang w:val="pt-BR"/>
        </w:rPr>
        <w:t xml:space="preserve">software Office Excel 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2016 (Microsoft Corporation, Redmond, Washington, EUA). Os dados foram então tabulados e </w:t>
      </w:r>
      <w:r w:rsidR="00E62345">
        <w:rPr>
          <w:rFonts w:ascii="Arial" w:hAnsi="Arial" w:cs="Arial"/>
          <w:sz w:val="20"/>
          <w:szCs w:val="20"/>
          <w:lang w:val="pt-BR"/>
        </w:rPr>
        <w:t xml:space="preserve">o 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painel com </w:t>
      </w:r>
      <w:r w:rsidR="00E62345">
        <w:rPr>
          <w:rFonts w:ascii="Arial" w:hAnsi="Arial" w:cs="Arial"/>
          <w:sz w:val="20"/>
          <w:szCs w:val="20"/>
          <w:lang w:val="pt-BR"/>
        </w:rPr>
        <w:t xml:space="preserve">os 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dados </w:t>
      </w:r>
      <w:r w:rsidR="00E62345">
        <w:rPr>
          <w:rFonts w:ascii="Arial" w:hAnsi="Arial" w:cs="Arial"/>
          <w:sz w:val="20"/>
          <w:szCs w:val="20"/>
          <w:lang w:val="pt-BR"/>
        </w:rPr>
        <w:t>incluídos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foram: ano de depósito, inventores e requerentes, país de origem, e o código do Tratado de Cooperação de Patentes (PCT). </w:t>
      </w:r>
    </w:p>
    <w:p w14:paraId="02F2D6A4" w14:textId="77777777" w:rsidR="00454A12" w:rsidRPr="009C589E" w:rsidRDefault="00454A12" w:rsidP="00454A12">
      <w:pPr>
        <w:spacing w:after="0"/>
        <w:rPr>
          <w:rFonts w:ascii="Arial" w:hAnsi="Arial" w:cs="Arial"/>
          <w:b/>
          <w:sz w:val="20"/>
          <w:szCs w:val="20"/>
          <w:lang w:val="pt-BR"/>
        </w:rPr>
      </w:pPr>
      <w:r w:rsidRPr="009C589E">
        <w:rPr>
          <w:rFonts w:ascii="Arial" w:hAnsi="Arial" w:cs="Arial"/>
          <w:b/>
          <w:sz w:val="20"/>
          <w:szCs w:val="20"/>
        </w:rPr>
        <w:t xml:space="preserve">2.1 </w:t>
      </w:r>
      <w:r w:rsidRPr="009C589E">
        <w:rPr>
          <w:rFonts w:ascii="Arial" w:hAnsi="Arial" w:cs="Arial"/>
          <w:b/>
          <w:sz w:val="20"/>
          <w:szCs w:val="20"/>
          <w:lang w:val="pt-BR"/>
        </w:rPr>
        <w:t>Procedimento de triagem das patentes</w:t>
      </w:r>
    </w:p>
    <w:p w14:paraId="392101E9" w14:textId="77777777" w:rsidR="00454A12" w:rsidRDefault="00454A12" w:rsidP="00454A12">
      <w:pPr>
        <w:spacing w:after="0" w:line="240" w:lineRule="auto"/>
        <w:ind w:firstLine="720"/>
        <w:jc w:val="both"/>
        <w:rPr>
          <w:rFonts w:ascii="Arial" w:hAnsi="Arial" w:cs="Arial"/>
          <w:strike/>
          <w:sz w:val="20"/>
          <w:szCs w:val="20"/>
          <w:lang w:val="pt-BR"/>
        </w:rPr>
      </w:pPr>
      <w:r w:rsidRPr="009C589E">
        <w:rPr>
          <w:rFonts w:ascii="Arial" w:hAnsi="Arial" w:cs="Arial"/>
          <w:sz w:val="20"/>
          <w:szCs w:val="20"/>
          <w:lang w:val="pt-BR"/>
        </w:rPr>
        <w:t xml:space="preserve">A busca inicialmente recuperou 221 registros individuais de patentes sendo 155 excluídas por serem patentes duplicadas (patentes filhas), totalizando 64 documentos de patentes. Em seguida, o título e o resumo de cada patente identificada foram avaliados para determinar se as patentes deveriam ser consideradas para análise posterior. Das 64 patentes selecionadas, nenhum foi excluída por todas estarem alinhadas com o objetivo da prospecção. </w:t>
      </w:r>
      <w:r w:rsidRPr="009C589E">
        <w:rPr>
          <w:rFonts w:ascii="Arial" w:hAnsi="Arial" w:cs="Arial"/>
          <w:strike/>
          <w:sz w:val="20"/>
          <w:szCs w:val="20"/>
          <w:lang w:val="pt-BR"/>
        </w:rPr>
        <w:t xml:space="preserve"> </w:t>
      </w:r>
    </w:p>
    <w:p w14:paraId="30E38033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2B9F022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>
        <w:rPr>
          <w:rFonts w:ascii="Arial" w:hAnsi="Arial" w:cs="Arial"/>
          <w:b/>
          <w:sz w:val="20"/>
          <w:lang w:val="pt-BR"/>
        </w:rPr>
        <w:t>RESULTADOS E DISCUSSÃO</w:t>
      </w:r>
    </w:p>
    <w:p w14:paraId="523E0664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C9C966A" w14:textId="59E247F6" w:rsidR="00454A12" w:rsidRPr="009C589E" w:rsidRDefault="00454A12" w:rsidP="00454A1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9C589E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As prospecções de patentes configuram-se como um meio importante para o desenvolvimento e aprimoramento de técnicas, apresentando grande possibilidade de </w:t>
      </w:r>
      <w:r w:rsidRPr="00EA36DD">
        <w:rPr>
          <w:rFonts w:ascii="Arial" w:eastAsia="Times New Roman" w:hAnsi="Arial" w:cs="Arial"/>
          <w:sz w:val="20"/>
          <w:szCs w:val="20"/>
          <w:lang w:val="pt-BR" w:eastAsia="pt-BR"/>
        </w:rPr>
        <w:t>investimento.</w:t>
      </w:r>
      <w:r w:rsidRPr="00EA36DD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7</w:t>
      </w:r>
      <w:r w:rsidRPr="00EA36D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9C589E">
        <w:rPr>
          <w:rFonts w:ascii="Arial" w:eastAsia="Times New Roman" w:hAnsi="Arial" w:cs="Arial"/>
          <w:sz w:val="20"/>
          <w:szCs w:val="20"/>
          <w:lang w:val="pt-BR" w:eastAsia="pt-BR"/>
        </w:rPr>
        <w:t>Na realizada, há uma ten</w:t>
      </w:r>
      <w:r w:rsidR="00E62345">
        <w:rPr>
          <w:rFonts w:ascii="Arial" w:eastAsia="Times New Roman" w:hAnsi="Arial" w:cs="Arial"/>
          <w:sz w:val="20"/>
          <w:szCs w:val="20"/>
          <w:lang w:val="pt-BR" w:eastAsia="pt-BR"/>
        </w:rPr>
        <w:t>dência mundial de crescimento d</w:t>
      </w:r>
      <w:r w:rsidRPr="009C589E">
        <w:rPr>
          <w:rFonts w:ascii="Arial" w:eastAsia="Times New Roman" w:hAnsi="Arial" w:cs="Arial"/>
          <w:sz w:val="20"/>
          <w:szCs w:val="20"/>
          <w:lang w:val="pt-BR" w:eastAsia="pt-BR"/>
        </w:rPr>
        <w:t>o número de depósitos de patentes</w:t>
      </w:r>
      <w:r w:rsidR="00E62345">
        <w:rPr>
          <w:rFonts w:ascii="Arial" w:eastAsia="Times New Roman" w:hAnsi="Arial" w:cs="Arial"/>
          <w:sz w:val="20"/>
          <w:szCs w:val="20"/>
          <w:lang w:val="pt-BR" w:eastAsia="pt-BR"/>
        </w:rPr>
        <w:t>, o</w:t>
      </w:r>
      <w:r w:rsidRPr="009C589E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que reflete o processo de acumulação de uma determinada tecnologia, desse modo, a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evolução anual das patentes dos dados estudados nesta prospecção, encontrada no período de 1974 a 2019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revelam que a tecnologia está em uma etapa de acumulação de conheci</w:t>
      </w:r>
      <w:r w:rsidR="00E62345">
        <w:rPr>
          <w:rFonts w:ascii="Arial" w:hAnsi="Arial" w:cs="Arial"/>
          <w:sz w:val="20"/>
          <w:szCs w:val="20"/>
          <w:lang w:val="pt-BR"/>
        </w:rPr>
        <w:t>mento, onde o número de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patentes depositadas ainda são reduzidos, </w:t>
      </w:r>
      <w:r w:rsidR="002569DF">
        <w:rPr>
          <w:rFonts w:ascii="Arial" w:hAnsi="Arial" w:cs="Arial"/>
          <w:sz w:val="20"/>
          <w:szCs w:val="20"/>
          <w:lang w:val="pt-BR"/>
        </w:rPr>
        <w:t>totalizando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64 patentes depositadas de produtos caracterizados como EL com aplicação na TNP</w:t>
      </w:r>
      <w:r w:rsidR="002569DF">
        <w:rPr>
          <w:rFonts w:ascii="Arial" w:hAnsi="Arial" w:cs="Arial"/>
          <w:sz w:val="20"/>
          <w:szCs w:val="20"/>
          <w:lang w:val="pt-BR"/>
        </w:rPr>
        <w:t>, isso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durante um período de 45 anos.</w:t>
      </w:r>
    </w:p>
    <w:p w14:paraId="3123A210" w14:textId="77777777" w:rsidR="00B60C26" w:rsidRDefault="00454A12" w:rsidP="00454A1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9C589E">
        <w:rPr>
          <w:rFonts w:ascii="Arial" w:hAnsi="Arial" w:cs="Arial"/>
          <w:sz w:val="20"/>
          <w:szCs w:val="20"/>
          <w:lang w:val="pt-BR"/>
        </w:rPr>
        <w:t xml:space="preserve">Entre 1974 e 2011 houve pouca variação nos depósitos de patentes, alternando anualmente entre um e quatro pedidos. </w:t>
      </w:r>
      <w:r w:rsidR="00B60C26">
        <w:rPr>
          <w:rFonts w:ascii="Arial" w:hAnsi="Arial" w:cs="Arial"/>
          <w:sz w:val="20"/>
          <w:szCs w:val="20"/>
          <w:lang w:val="pt-BR"/>
        </w:rPr>
        <w:t>No</w:t>
      </w:r>
      <w:r w:rsidRPr="009C014D">
        <w:rPr>
          <w:rFonts w:ascii="Arial" w:hAnsi="Arial" w:cs="Arial"/>
          <w:sz w:val="20"/>
          <w:szCs w:val="20"/>
          <w:lang w:val="pt-BR"/>
        </w:rPr>
        <w:t xml:space="preserve"> período entre 2011 e 2013 houve um maior depósito de patentes na área pesquisada, 13 depósitos, e das 13 patentes depositadas neste período, 12 pertencem ao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Estados Unidos da América, o que mostra um evidente crescimento no interesse na produção de emulsões e sua respectiva aplicação na TNP.  A falta de dados entre o período de 2019 e 2020 é devido ao fato de que a informação com</w:t>
      </w:r>
      <w:r w:rsidR="00B60C26">
        <w:rPr>
          <w:rFonts w:ascii="Arial" w:hAnsi="Arial" w:cs="Arial"/>
          <w:sz w:val="20"/>
          <w:szCs w:val="20"/>
          <w:lang w:val="pt-BR"/>
        </w:rPr>
        <w:t>pleta não está disponível em virtude do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período de 18 meses de sigilo das patentes. </w:t>
      </w:r>
    </w:p>
    <w:p w14:paraId="56C458AA" w14:textId="3F0D0EF0" w:rsidR="00454A12" w:rsidRDefault="00454A12" w:rsidP="00454A1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A57E58">
        <w:rPr>
          <w:rFonts w:ascii="Arial" w:hAnsi="Arial" w:cs="Arial"/>
          <w:sz w:val="20"/>
          <w:szCs w:val="20"/>
          <w:lang w:val="pt-BR"/>
        </w:rPr>
        <w:t>Por sua vez, quando o recorte dos dados é realizado por países, têm-se os dados representados na Figura 1a, é possível observar que dentre os números de patentes publicadas de 1974 a 2019 os US é o maior detentor de</w:t>
      </w:r>
      <w:r w:rsidRPr="00BD6A89">
        <w:rPr>
          <w:rFonts w:ascii="Arial" w:hAnsi="Arial" w:cs="Arial"/>
          <w:sz w:val="20"/>
          <w:szCs w:val="20"/>
          <w:lang w:val="pt-BR"/>
        </w:rPr>
        <w:t xml:space="preserve"> tecnologias patenteadas depositadas na área de interesse, corresponde</w:t>
      </w:r>
      <w:r w:rsidR="00B60C26">
        <w:rPr>
          <w:rFonts w:ascii="Arial" w:hAnsi="Arial" w:cs="Arial"/>
          <w:sz w:val="20"/>
          <w:szCs w:val="20"/>
          <w:lang w:val="pt-BR"/>
        </w:rPr>
        <w:t>ndo</w:t>
      </w:r>
      <w:r w:rsidRPr="00BD6A89">
        <w:rPr>
          <w:rFonts w:ascii="Arial" w:hAnsi="Arial" w:cs="Arial"/>
          <w:sz w:val="20"/>
          <w:szCs w:val="20"/>
          <w:lang w:val="pt-BR"/>
        </w:rPr>
        <w:t xml:space="preserve"> a (63%) do total, seguido da China [CN] com (9%) dos registros.</w:t>
      </w:r>
    </w:p>
    <w:p w14:paraId="7302DFD5" w14:textId="77777777" w:rsidR="00B60C26" w:rsidRPr="00BD6A89" w:rsidRDefault="00B60C26" w:rsidP="00454A1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</w:p>
    <w:p w14:paraId="7663466C" w14:textId="77777777" w:rsidR="0042580C" w:rsidRDefault="00454A12" w:rsidP="004259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9C014D">
        <w:rPr>
          <w:rFonts w:ascii="Arial" w:hAnsi="Arial" w:cs="Arial"/>
          <w:sz w:val="20"/>
          <w:szCs w:val="20"/>
          <w:lang w:val="pt-BR"/>
        </w:rPr>
        <w:t>Figura 1. Número de patentes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9C014D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por</w:t>
      </w:r>
      <w:r w:rsidRPr="009C014D">
        <w:rPr>
          <w:rFonts w:ascii="Arial" w:hAnsi="Arial" w:cs="Arial"/>
          <w:sz w:val="20"/>
          <w:szCs w:val="20"/>
          <w:lang w:val="pt-BR"/>
        </w:rPr>
        <w:t xml:space="preserve"> países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9C014D">
        <w:rPr>
          <w:rFonts w:ascii="Arial" w:hAnsi="Arial" w:cs="Arial"/>
          <w:sz w:val="20"/>
          <w:szCs w:val="20"/>
          <w:lang w:val="pt-BR"/>
        </w:rPr>
        <w:t xml:space="preserve"> relacionadas as emulsões lipídicas parenterais. EP: Organização Europeia de Patentes </w:t>
      </w:r>
      <w:r>
        <w:rPr>
          <w:rFonts w:ascii="Arial" w:hAnsi="Arial" w:cs="Arial"/>
          <w:sz w:val="20"/>
          <w:szCs w:val="20"/>
          <w:lang w:val="pt-BR"/>
        </w:rPr>
        <w:t xml:space="preserve">e </w:t>
      </w:r>
      <w:r w:rsidRPr="001D3F20">
        <w:rPr>
          <w:rFonts w:ascii="Arial" w:hAnsi="Arial" w:cs="Arial"/>
          <w:sz w:val="20"/>
          <w:szCs w:val="20"/>
          <w:lang w:val="pt-BR"/>
        </w:rPr>
        <w:t>Panorama dos potenciais mercados e seus maiores depositantes</w:t>
      </w:r>
      <w:r>
        <w:rPr>
          <w:rFonts w:ascii="Arial" w:hAnsi="Arial" w:cs="Arial"/>
          <w:sz w:val="20"/>
          <w:szCs w:val="20"/>
          <w:lang w:val="pt-BR"/>
        </w:rPr>
        <w:t>.</w:t>
      </w:r>
      <w:r w:rsidRPr="00454A12">
        <w:rPr>
          <w:rFonts w:ascii="Arial" w:hAnsi="Arial" w:cs="Arial"/>
          <w:noProof/>
          <w:sz w:val="20"/>
          <w:szCs w:val="20"/>
          <w:lang w:val="pt-BR" w:eastAsia="pt-BR"/>
        </w:rPr>
        <w:t xml:space="preserve"> </w:t>
      </w:r>
      <w:r>
        <w:rPr>
          <w:rFonts w:ascii="Arial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7571961D" wp14:editId="48661D99">
            <wp:extent cx="6120130" cy="192899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580C" w:rsidRPr="0042580C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4783AC6C" w14:textId="34F00101" w:rsidR="0042580C" w:rsidRPr="00BD6A89" w:rsidRDefault="0042580C" w:rsidP="0042580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BD6A89">
        <w:rPr>
          <w:rFonts w:ascii="Arial" w:hAnsi="Arial" w:cs="Arial"/>
          <w:sz w:val="20"/>
          <w:szCs w:val="20"/>
          <w:lang w:val="pt-BR"/>
        </w:rPr>
        <w:lastRenderedPageBreak/>
        <w:t>Com base na análise dos dados foi possível notar que não há registros de depósito de patente relacionada a esta tecnologia no Brasil, evidenciando uma escassez em pesquisas nessa área. Ao analisar os tipos de instituições depositantes, identificou-se que as empresas detêm a maior parte da tecnologia, representando (80%) do total, as Universidades, correspondendo (14%), os órgãos governamentais (3%) e pessoa física (3%).</w:t>
      </w:r>
    </w:p>
    <w:p w14:paraId="217A7D48" w14:textId="77777777" w:rsidR="0042580C" w:rsidRDefault="0042580C" w:rsidP="0042580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 w:rsidRPr="00BD6A89">
        <w:rPr>
          <w:rFonts w:ascii="Arial" w:hAnsi="Arial" w:cs="Arial"/>
          <w:sz w:val="20"/>
          <w:szCs w:val="20"/>
          <w:lang w:val="pt-BR"/>
        </w:rPr>
        <w:t xml:space="preserve"> </w:t>
      </w:r>
      <w:r w:rsidRPr="00A57E58">
        <w:rPr>
          <w:rFonts w:ascii="Arial" w:hAnsi="Arial" w:cs="Arial"/>
          <w:sz w:val="20"/>
          <w:szCs w:val="20"/>
          <w:lang w:val="pt-BR"/>
        </w:rPr>
        <w:t xml:space="preserve">De acordo com a análise do panorama dos potenciais mercados e seus maiores depositantes de patentes em EL aplicados na TNP, </w:t>
      </w:r>
      <w:proofErr w:type="gramStart"/>
      <w:r w:rsidRPr="00A57E58">
        <w:rPr>
          <w:rFonts w:ascii="Arial" w:hAnsi="Arial" w:cs="Arial"/>
          <w:sz w:val="20"/>
          <w:szCs w:val="20"/>
          <w:lang w:val="pt-BR"/>
        </w:rPr>
        <w:t>Figura</w:t>
      </w:r>
      <w:proofErr w:type="gramEnd"/>
      <w:r w:rsidRPr="00A57E58">
        <w:rPr>
          <w:rFonts w:ascii="Arial" w:hAnsi="Arial" w:cs="Arial"/>
          <w:sz w:val="20"/>
          <w:szCs w:val="20"/>
          <w:lang w:val="pt-BR"/>
        </w:rPr>
        <w:t xml:space="preserve"> 1b, identificou-se que o Brasil representa (3,28%), indicando que patentes depositadas internacionalmente foram protegidas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 no país.</w:t>
      </w:r>
    </w:p>
    <w:p w14:paraId="238C7FC2" w14:textId="600DEA73" w:rsidR="0042580C" w:rsidRPr="009C589E" w:rsidRDefault="0042580C" w:rsidP="0042580C">
      <w:pPr>
        <w:spacing w:after="0" w:line="240" w:lineRule="auto"/>
        <w:ind w:firstLine="708"/>
        <w:jc w:val="both"/>
        <w:rPr>
          <w:rFonts w:ascii="Arial" w:hAnsi="Arial" w:cs="Arial"/>
          <w:sz w:val="20"/>
          <w:lang w:val="pt-BR"/>
        </w:rPr>
      </w:pPr>
      <w:r w:rsidRPr="009C589E">
        <w:rPr>
          <w:rFonts w:ascii="Arial" w:hAnsi="Arial" w:cs="Arial"/>
          <w:sz w:val="20"/>
          <w:szCs w:val="20"/>
          <w:lang w:val="pt-BR"/>
        </w:rPr>
        <w:t xml:space="preserve">Fundamentando-se em uma leitura minuciosa dos documentos de patentes, foi possível visualizar uma grande variação relacionada à composição das EL, por outra parte, evidenciou-se um predomínio de emulsões compostas com óleo de soja isolada ou combinada com outros óleos como o de peixe, oliva, triglicerídeos de cadeia média (TCM), </w:t>
      </w:r>
      <w:proofErr w:type="spellStart"/>
      <w:r w:rsidRPr="009C589E">
        <w:rPr>
          <w:rFonts w:ascii="Arial" w:hAnsi="Arial" w:cs="Arial"/>
          <w:sz w:val="20"/>
          <w:szCs w:val="20"/>
          <w:lang w:val="pt-BR"/>
        </w:rPr>
        <w:t>cártamo</w:t>
      </w:r>
      <w:proofErr w:type="spellEnd"/>
      <w:r w:rsidRPr="009C589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9C589E">
        <w:rPr>
          <w:rFonts w:ascii="Arial" w:hAnsi="Arial" w:cs="Arial"/>
          <w:sz w:val="20"/>
          <w:szCs w:val="20"/>
          <w:lang w:val="pt-BR"/>
        </w:rPr>
        <w:t>argam</w:t>
      </w:r>
      <w:proofErr w:type="spellEnd"/>
      <w:r w:rsidRPr="009C589E">
        <w:rPr>
          <w:rFonts w:ascii="Arial" w:hAnsi="Arial" w:cs="Arial"/>
          <w:sz w:val="20"/>
          <w:szCs w:val="20"/>
          <w:lang w:val="pt-BR"/>
        </w:rPr>
        <w:t>, gergelim, semente de algodão, milho e barragem. É importante mencionar que esses dados convergem com as gerações das emulsões lipídicas parenterais. As EL perpassam por gerações, nessa perspectiva, ao longo dos anos houve uma t</w:t>
      </w:r>
      <w:r w:rsidRPr="009C589E">
        <w:rPr>
          <w:rFonts w:ascii="Arial" w:hAnsi="Arial" w:cs="Arial"/>
          <w:sz w:val="20"/>
          <w:lang w:val="pt-BR"/>
        </w:rPr>
        <w:t xml:space="preserve">endência a redução substancial do óleo de soja e a inserção de outros óleos, possibilitando uma composição mais completa do ponto de vista dos ácidos graxos essenciais e com potencial antioxidante. </w:t>
      </w:r>
    </w:p>
    <w:p w14:paraId="675B4688" w14:textId="526699F0" w:rsidR="00454A12" w:rsidRDefault="00454A12" w:rsidP="00454A12">
      <w:pPr>
        <w:spacing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E551F9F" w14:textId="165A1E29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72AAD027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0F8CDDC" w14:textId="138AAF85" w:rsidR="00454A12" w:rsidRPr="009C589E" w:rsidRDefault="00454A12" w:rsidP="00454A12">
      <w:pPr>
        <w:spacing w:after="0" w:line="240" w:lineRule="auto"/>
        <w:ind w:firstLine="709"/>
        <w:jc w:val="both"/>
        <w:rPr>
          <w:rFonts w:ascii="Arial" w:hAnsi="Arial" w:cs="Arial"/>
          <w:sz w:val="20"/>
          <w:lang w:val="pt-BR"/>
        </w:rPr>
      </w:pPr>
      <w:r w:rsidRPr="009C589E">
        <w:rPr>
          <w:rFonts w:ascii="Arial" w:hAnsi="Arial" w:cs="Arial"/>
          <w:sz w:val="20"/>
          <w:lang w:val="pt-BR"/>
        </w:rPr>
        <w:t xml:space="preserve">A partir da análise dos documentos de patentes prospectados neste estudo, foi possível concluir que a origem da tecnologia patenteada relacionadas as emulsões lipídicas parenterais estão concentradas em países desenvolvidos com nos Estados Unidos e China. Considerando a análise de mercado, o Brasil, configura-se como um país de baixa influência na referida tecnologia e praticamente nulo no que se refere à produção e apropriação do conhecimento nesse setor. Deste modo, evidencia-se a imprescindível necessidade de ampliação em pesquisas nessa área, considerando que a quantidade de patentes depositadas nacional e internacionalmente, são expressivamente reduzidas. Frente a este cenário, deve-se buscar o incentivo econômico para fomentar o desenvolvimento técnico, científico e tecnológico na produção de emulsões lipídicas parenterais, uma vez que a referida tecnologia demonstra representar uma forte oportunidade de geração de patentes devido a ampla possibilidade de diversificação da composição das formulações, desse modo mais estudos nessa relevante área devem ser realizados. </w:t>
      </w:r>
    </w:p>
    <w:p w14:paraId="3759F3A4" w14:textId="77777777" w:rsidR="00454A12" w:rsidRDefault="00454A12" w:rsidP="00454A1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3F4EF14A" w14:textId="33FE218D" w:rsidR="001E33B6" w:rsidRDefault="001E33B6" w:rsidP="00454A1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14:paraId="528B7BC6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580C16F8" w14:textId="275517F4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="00454A12" w:rsidRPr="009C589E">
        <w:rPr>
          <w:rFonts w:ascii="Arial" w:hAnsi="Arial" w:cs="Arial"/>
          <w:sz w:val="20"/>
          <w:lang w:val="pt-BR"/>
        </w:rPr>
        <w:t>Os autores agradecem o apoio financeiro recebido da Fundação de Amparo à Pesquisa do Estado da Bahia (FAPESB), concessão da bolsa número 084.0508.2020.0000821-96.</w:t>
      </w:r>
    </w:p>
    <w:p w14:paraId="62DA12F1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3158223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4B2E69B5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9B39E7A" w14:textId="77777777" w:rsidR="00454A12" w:rsidRPr="00BD6A89" w:rsidRDefault="00454A12" w:rsidP="00454A12">
      <w:pPr>
        <w:spacing w:after="0" w:line="40" w:lineRule="atLeast"/>
        <w:jc w:val="both"/>
        <w:rPr>
          <w:rFonts w:ascii="Arial" w:hAnsi="Arial" w:cs="Arial"/>
          <w:sz w:val="20"/>
          <w:szCs w:val="20"/>
          <w:lang w:val="pt-BR"/>
        </w:rPr>
      </w:pPr>
      <w:r w:rsidRPr="009C589E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Pr="009C589E">
        <w:rPr>
          <w:rFonts w:ascii="Arial" w:hAnsi="Arial" w:cs="Arial"/>
          <w:sz w:val="20"/>
          <w:szCs w:val="20"/>
          <w:lang w:val="pt-BR"/>
        </w:rPr>
        <w:t xml:space="preserve">BRASIL. Regulamento Técnico para Terapia de Nutrição Parenteral. Secretaria Nacional de Vigilância Sanitária do Ministério da Saúde, Portaria nº 272 de 8 de </w:t>
      </w:r>
      <w:proofErr w:type="gramStart"/>
      <w:r w:rsidRPr="009C589E">
        <w:rPr>
          <w:rFonts w:ascii="Arial" w:hAnsi="Arial" w:cs="Arial"/>
          <w:sz w:val="20"/>
          <w:szCs w:val="20"/>
          <w:lang w:val="pt-BR"/>
        </w:rPr>
        <w:t>Abril</w:t>
      </w:r>
      <w:proofErr w:type="gramEnd"/>
      <w:r w:rsidRPr="009C589E">
        <w:rPr>
          <w:rFonts w:ascii="Arial" w:hAnsi="Arial" w:cs="Arial"/>
          <w:sz w:val="20"/>
          <w:szCs w:val="20"/>
          <w:lang w:val="pt-BR"/>
        </w:rPr>
        <w:t xml:space="preserve">, 1998.  Diário Oficial de União; Poder Executivo, Brasília, </w:t>
      </w:r>
      <w:r w:rsidRPr="00BD6A89">
        <w:rPr>
          <w:rFonts w:ascii="Arial" w:hAnsi="Arial" w:cs="Arial"/>
          <w:sz w:val="20"/>
          <w:szCs w:val="20"/>
          <w:lang w:val="pt-BR"/>
        </w:rPr>
        <w:t>1998.</w:t>
      </w:r>
    </w:p>
    <w:p w14:paraId="0AD38E9B" w14:textId="77777777" w:rsidR="00454A12" w:rsidRPr="001E29F1" w:rsidRDefault="00454A12" w:rsidP="00454A12">
      <w:pPr>
        <w:spacing w:after="0" w:line="4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BD6A89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BD6A8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D6A89">
        <w:rPr>
          <w:rFonts w:ascii="Arial" w:hAnsi="Arial" w:cs="Arial"/>
          <w:sz w:val="20"/>
          <w:szCs w:val="20"/>
        </w:rPr>
        <w:t>DRISCOLL, D.F. Commercial lipid emulsions and all-in-one mixtures</w:t>
      </w:r>
      <w:r>
        <w:rPr>
          <w:rFonts w:ascii="Arial" w:hAnsi="Arial" w:cs="Arial"/>
          <w:sz w:val="20"/>
          <w:szCs w:val="20"/>
        </w:rPr>
        <w:t xml:space="preserve"> </w:t>
      </w:r>
      <w:r w:rsidRPr="00BD6A89">
        <w:rPr>
          <w:rFonts w:ascii="Arial" w:hAnsi="Arial" w:cs="Arial"/>
          <w:sz w:val="20"/>
          <w:szCs w:val="20"/>
        </w:rPr>
        <w:t>for intravenous infusion –compo</w:t>
      </w:r>
      <w:r>
        <w:rPr>
          <w:rFonts w:ascii="Arial" w:hAnsi="Arial" w:cs="Arial"/>
          <w:sz w:val="20"/>
          <w:szCs w:val="20"/>
        </w:rPr>
        <w:t>sition and physicochemical prop</w:t>
      </w:r>
      <w:r w:rsidRPr="00BD6A89">
        <w:rPr>
          <w:rFonts w:ascii="Arial" w:hAnsi="Arial" w:cs="Arial"/>
          <w:sz w:val="20"/>
          <w:szCs w:val="20"/>
        </w:rPr>
        <w:t>erties. In: CALDER, P.C.; WAITZBERG, D.L.; KOLETZKO, B. editors. Intravenous lipid emulsions</w:t>
      </w:r>
      <w:r w:rsidRPr="001E29F1">
        <w:rPr>
          <w:rFonts w:ascii="Arial" w:hAnsi="Arial" w:cs="Arial"/>
          <w:sz w:val="20"/>
          <w:szCs w:val="20"/>
        </w:rPr>
        <w:t xml:space="preserve"> vol. 112. </w:t>
      </w:r>
      <w:r w:rsidRPr="001E29F1">
        <w:rPr>
          <w:rFonts w:ascii="Arial" w:hAnsi="Arial" w:cs="Arial"/>
          <w:b/>
          <w:sz w:val="20"/>
          <w:szCs w:val="20"/>
        </w:rPr>
        <w:t xml:space="preserve">World Rev </w:t>
      </w:r>
      <w:proofErr w:type="spellStart"/>
      <w:r w:rsidRPr="001E29F1">
        <w:rPr>
          <w:rFonts w:ascii="Arial" w:hAnsi="Arial" w:cs="Arial"/>
          <w:b/>
          <w:sz w:val="20"/>
          <w:szCs w:val="20"/>
        </w:rPr>
        <w:t>Nutr</w:t>
      </w:r>
      <w:proofErr w:type="spellEnd"/>
      <w:r w:rsidRPr="001E29F1">
        <w:rPr>
          <w:rFonts w:ascii="Arial" w:hAnsi="Arial" w:cs="Arial"/>
          <w:b/>
          <w:sz w:val="20"/>
          <w:szCs w:val="20"/>
        </w:rPr>
        <w:t xml:space="preserve"> Diet. Basel: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29F1">
        <w:rPr>
          <w:rFonts w:ascii="Arial" w:hAnsi="Arial" w:cs="Arial"/>
          <w:b/>
          <w:sz w:val="20"/>
          <w:szCs w:val="20"/>
        </w:rPr>
        <w:t>Karger</w:t>
      </w:r>
      <w:proofErr w:type="spellEnd"/>
      <w:r w:rsidRPr="001E29F1">
        <w:rPr>
          <w:rFonts w:ascii="Arial" w:hAnsi="Arial" w:cs="Arial"/>
          <w:sz w:val="20"/>
          <w:szCs w:val="20"/>
        </w:rPr>
        <w:t>. p. 48–56.2015.</w:t>
      </w:r>
    </w:p>
    <w:p w14:paraId="71129371" w14:textId="77777777" w:rsidR="00454A12" w:rsidRPr="00E43CE6" w:rsidRDefault="00454A12" w:rsidP="00454A1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9C589E">
        <w:rPr>
          <w:rFonts w:ascii="Arial" w:hAnsi="Arial" w:cs="Arial"/>
          <w:sz w:val="20"/>
          <w:szCs w:val="20"/>
          <w:vertAlign w:val="superscript"/>
        </w:rPr>
        <w:t>3</w:t>
      </w:r>
      <w:r w:rsidRPr="009C589E">
        <w:rPr>
          <w:rFonts w:ascii="Arial" w:hAnsi="Arial" w:cs="Arial"/>
          <w:sz w:val="20"/>
          <w:szCs w:val="20"/>
        </w:rPr>
        <w:t xml:space="preserve">SAM, H. The </w:t>
      </w:r>
      <w:proofErr w:type="spellStart"/>
      <w:r w:rsidRPr="009C589E">
        <w:rPr>
          <w:rFonts w:ascii="Arial" w:hAnsi="Arial" w:cs="Arial"/>
          <w:sz w:val="20"/>
          <w:szCs w:val="20"/>
        </w:rPr>
        <w:t>Cmyk</w:t>
      </w:r>
      <w:proofErr w:type="spellEnd"/>
      <w:r w:rsidRPr="009C589E">
        <w:rPr>
          <w:rFonts w:ascii="Arial" w:hAnsi="Arial" w:cs="Arial"/>
          <w:sz w:val="20"/>
          <w:szCs w:val="20"/>
        </w:rPr>
        <w:t xml:space="preserve"> Digest. </w:t>
      </w:r>
      <w:r w:rsidRPr="003C05DD">
        <w:rPr>
          <w:rFonts w:ascii="Arial" w:hAnsi="Arial" w:cs="Arial"/>
          <w:sz w:val="20"/>
          <w:szCs w:val="20"/>
          <w:lang w:val="pt-BR"/>
        </w:rPr>
        <w:t xml:space="preserve">Disponível em: http://cmykdigest.com/23954/o-mercado-global-de-nutricao-parenteraldevera-exceder-us-439-bilhoes-globalmente-ate-2024/. </w:t>
      </w:r>
      <w:r w:rsidRPr="00E43CE6">
        <w:rPr>
          <w:rFonts w:ascii="Arial" w:hAnsi="Arial" w:cs="Arial"/>
          <w:sz w:val="20"/>
          <w:szCs w:val="20"/>
          <w:lang w:val="pt-BR"/>
        </w:rPr>
        <w:t>Acessado em 29 de março de 2021.</w:t>
      </w:r>
    </w:p>
    <w:p w14:paraId="70AF4CA9" w14:textId="77777777" w:rsidR="00454A12" w:rsidRPr="003C05DD" w:rsidRDefault="00454A12" w:rsidP="00454A1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C05DD">
        <w:rPr>
          <w:rFonts w:ascii="Arial" w:hAnsi="Arial" w:cs="Arial"/>
          <w:sz w:val="20"/>
          <w:szCs w:val="20"/>
          <w:vertAlign w:val="superscript"/>
          <w:lang w:val="pt-BR"/>
        </w:rPr>
        <w:t xml:space="preserve">4 </w:t>
      </w:r>
      <w:r w:rsidRPr="003C05DD">
        <w:rPr>
          <w:rFonts w:ascii="Arial" w:hAnsi="Arial" w:cs="Arial"/>
          <w:sz w:val="20"/>
          <w:szCs w:val="20"/>
          <w:lang w:val="pt-BR"/>
        </w:rPr>
        <w:t xml:space="preserve">FIALKOSKI, D.; MALFATTI, C. R. M. Nanotecnologia: uma prospecção tecnológica no âmbito nacional e internacional. </w:t>
      </w:r>
      <w:r w:rsidRPr="003C05DD">
        <w:rPr>
          <w:rFonts w:ascii="Arial" w:hAnsi="Arial" w:cs="Arial"/>
          <w:b/>
          <w:sz w:val="20"/>
          <w:szCs w:val="20"/>
          <w:lang w:val="pt-BR"/>
        </w:rPr>
        <w:t>Cadernos de Prospecção</w:t>
      </w:r>
      <w:r w:rsidRPr="003C05DD">
        <w:rPr>
          <w:rFonts w:ascii="Arial" w:hAnsi="Arial" w:cs="Arial"/>
          <w:sz w:val="20"/>
          <w:szCs w:val="20"/>
          <w:lang w:val="pt-BR"/>
        </w:rPr>
        <w:t>, v. 12, n. 3, p. 590, 2019.</w:t>
      </w:r>
    </w:p>
    <w:p w14:paraId="101CDDEB" w14:textId="77777777" w:rsidR="00454A12" w:rsidRPr="003C05DD" w:rsidRDefault="00454A12" w:rsidP="00454A1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C05DD">
        <w:rPr>
          <w:rFonts w:ascii="Arial" w:hAnsi="Arial" w:cs="Arial"/>
          <w:sz w:val="20"/>
          <w:szCs w:val="20"/>
          <w:vertAlign w:val="superscript"/>
          <w:lang w:val="pt-BR"/>
        </w:rPr>
        <w:t xml:space="preserve">5 </w:t>
      </w:r>
      <w:r w:rsidRPr="003C05DD">
        <w:rPr>
          <w:rFonts w:ascii="Arial" w:hAnsi="Arial" w:cs="Arial"/>
          <w:sz w:val="20"/>
          <w:szCs w:val="20"/>
          <w:lang w:val="pt-BR"/>
        </w:rPr>
        <w:t xml:space="preserve">SANTOS, D. S. Desenvolvimento e avaliação do potencial antioxidante in vitro de </w:t>
      </w:r>
      <w:proofErr w:type="spellStart"/>
      <w:r w:rsidRPr="003C05DD">
        <w:rPr>
          <w:rFonts w:ascii="Arial" w:hAnsi="Arial" w:cs="Arial"/>
          <w:sz w:val="20"/>
          <w:szCs w:val="20"/>
          <w:lang w:val="pt-BR"/>
        </w:rPr>
        <w:t>nanoformulações</w:t>
      </w:r>
      <w:proofErr w:type="spellEnd"/>
      <w:r w:rsidRPr="003C05DD">
        <w:rPr>
          <w:rFonts w:ascii="Arial" w:hAnsi="Arial" w:cs="Arial"/>
          <w:sz w:val="20"/>
          <w:szCs w:val="20"/>
          <w:lang w:val="pt-BR"/>
        </w:rPr>
        <w:t xml:space="preserve"> contendo óleo do fruto </w:t>
      </w:r>
      <w:proofErr w:type="spellStart"/>
      <w:r w:rsidRPr="003C05DD">
        <w:rPr>
          <w:rFonts w:ascii="Arial" w:hAnsi="Arial" w:cs="Arial"/>
          <w:sz w:val="20"/>
          <w:szCs w:val="20"/>
          <w:lang w:val="pt-BR"/>
        </w:rPr>
        <w:t>orbignya</w:t>
      </w:r>
      <w:proofErr w:type="spellEnd"/>
      <w:r w:rsidRPr="003C05DD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3C05DD">
        <w:rPr>
          <w:rFonts w:ascii="Arial" w:hAnsi="Arial" w:cs="Arial"/>
          <w:sz w:val="20"/>
          <w:szCs w:val="20"/>
          <w:lang w:val="pt-BR"/>
        </w:rPr>
        <w:t>phalerata</w:t>
      </w:r>
      <w:proofErr w:type="spellEnd"/>
      <w:r w:rsidRPr="003C05DD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3C05DD">
        <w:rPr>
          <w:rFonts w:ascii="Arial" w:hAnsi="Arial" w:cs="Arial"/>
          <w:sz w:val="20"/>
          <w:szCs w:val="20"/>
          <w:lang w:val="pt-BR"/>
        </w:rPr>
        <w:t>martius</w:t>
      </w:r>
      <w:proofErr w:type="spellEnd"/>
      <w:r w:rsidRPr="003C05DD">
        <w:rPr>
          <w:rFonts w:ascii="Arial" w:hAnsi="Arial" w:cs="Arial"/>
          <w:sz w:val="20"/>
          <w:szCs w:val="20"/>
          <w:lang w:val="pt-BR"/>
        </w:rPr>
        <w:t xml:space="preserve">. 2015. Dissertação (Mestrado - Mestrado em Nanociência e </w:t>
      </w:r>
      <w:proofErr w:type="spellStart"/>
      <w:r w:rsidRPr="003C05DD">
        <w:rPr>
          <w:rFonts w:ascii="Arial" w:hAnsi="Arial" w:cs="Arial"/>
          <w:sz w:val="20"/>
          <w:szCs w:val="20"/>
          <w:lang w:val="pt-BR"/>
        </w:rPr>
        <w:t>Nanobiotecnologia</w:t>
      </w:r>
      <w:proofErr w:type="spellEnd"/>
      <w:r w:rsidRPr="003C05DD">
        <w:rPr>
          <w:rFonts w:ascii="Arial" w:hAnsi="Arial" w:cs="Arial"/>
          <w:sz w:val="20"/>
          <w:szCs w:val="20"/>
          <w:lang w:val="pt-BR"/>
        </w:rPr>
        <w:t>) -Universidade de Brasília, 2015.</w:t>
      </w:r>
    </w:p>
    <w:p w14:paraId="3E7A30DA" w14:textId="77777777" w:rsidR="00454A12" w:rsidRPr="003C05DD" w:rsidRDefault="00454A12" w:rsidP="00454A1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C05DD">
        <w:rPr>
          <w:rFonts w:ascii="Arial" w:hAnsi="Arial" w:cs="Arial"/>
          <w:sz w:val="20"/>
          <w:szCs w:val="20"/>
          <w:vertAlign w:val="superscript"/>
          <w:lang w:val="pt-BR"/>
        </w:rPr>
        <w:t xml:space="preserve">6 </w:t>
      </w:r>
      <w:r w:rsidRPr="003C05DD">
        <w:rPr>
          <w:rFonts w:ascii="Arial" w:hAnsi="Arial" w:cs="Arial"/>
          <w:sz w:val="20"/>
          <w:szCs w:val="20"/>
          <w:lang w:val="pt-BR"/>
        </w:rPr>
        <w:t xml:space="preserve">HYEDA, A.; COSTA, É. S. M. Análise econômica dos custos com terapia nutricional enteral e parenteral conforme doença e desfecho. </w:t>
      </w:r>
      <w:r w:rsidRPr="003C05DD">
        <w:rPr>
          <w:rFonts w:ascii="Arial" w:hAnsi="Arial" w:cs="Arial"/>
          <w:b/>
          <w:sz w:val="20"/>
          <w:szCs w:val="20"/>
          <w:lang w:val="pt-BR"/>
        </w:rPr>
        <w:t>Einstein (São Paulo</w:t>
      </w:r>
      <w:r w:rsidRPr="003C05DD">
        <w:rPr>
          <w:rFonts w:ascii="Arial" w:hAnsi="Arial" w:cs="Arial"/>
          <w:sz w:val="20"/>
          <w:szCs w:val="20"/>
          <w:lang w:val="pt-BR"/>
        </w:rPr>
        <w:t>), v. 15, n. 2, p. 192-199, 2017.</w:t>
      </w:r>
    </w:p>
    <w:p w14:paraId="70B0E2AD" w14:textId="026A3B5B" w:rsidR="00454A12" w:rsidRPr="00BD6A89" w:rsidRDefault="00454A12" w:rsidP="00454A1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82FDE">
        <w:rPr>
          <w:rFonts w:ascii="Arial" w:hAnsi="Arial" w:cs="Arial"/>
          <w:sz w:val="20"/>
          <w:szCs w:val="20"/>
          <w:vertAlign w:val="superscript"/>
          <w:lang w:val="pt-BR"/>
        </w:rPr>
        <w:t>7</w:t>
      </w:r>
      <w:r w:rsidRPr="001E29F1">
        <w:rPr>
          <w:rFonts w:ascii="Arial" w:hAnsi="Arial" w:cs="Arial"/>
          <w:sz w:val="20"/>
          <w:szCs w:val="20"/>
        </w:rPr>
        <w:t xml:space="preserve"> </w:t>
      </w:r>
      <w:r w:rsidRPr="00E43CE6">
        <w:rPr>
          <w:rFonts w:ascii="Arial" w:hAnsi="Arial" w:cs="Arial"/>
          <w:sz w:val="20"/>
          <w:szCs w:val="20"/>
        </w:rPr>
        <w:t xml:space="preserve">QUINTELLA, C. M. et al. </w:t>
      </w:r>
      <w:r w:rsidRPr="003C05DD">
        <w:rPr>
          <w:rFonts w:ascii="Arial" w:hAnsi="Arial" w:cs="Arial"/>
          <w:sz w:val="20"/>
          <w:szCs w:val="20"/>
          <w:lang w:val="pt-BR"/>
        </w:rPr>
        <w:t xml:space="preserve">Prospecção Tecnológica como uma Ferramenta Aplicada em Ciência e Tecnologia para se Chegar à Inovação. </w:t>
      </w:r>
      <w:r w:rsidRPr="003C05DD">
        <w:rPr>
          <w:rFonts w:ascii="Arial" w:hAnsi="Arial" w:cs="Arial"/>
          <w:b/>
          <w:sz w:val="20"/>
          <w:szCs w:val="20"/>
          <w:lang w:val="pt-BR"/>
        </w:rPr>
        <w:t>Revista Virtual de Química</w:t>
      </w:r>
      <w:r w:rsidRPr="003C05DD">
        <w:rPr>
          <w:rFonts w:ascii="Arial" w:hAnsi="Arial" w:cs="Arial"/>
          <w:sz w:val="20"/>
          <w:szCs w:val="20"/>
          <w:lang w:val="pt-BR"/>
        </w:rPr>
        <w:t>, [</w:t>
      </w:r>
      <w:proofErr w:type="spellStart"/>
      <w:r w:rsidRPr="003C05DD">
        <w:rPr>
          <w:rFonts w:ascii="Arial" w:hAnsi="Arial" w:cs="Arial"/>
          <w:sz w:val="20"/>
          <w:szCs w:val="20"/>
          <w:lang w:val="pt-BR"/>
        </w:rPr>
        <w:t>S.l</w:t>
      </w:r>
      <w:proofErr w:type="spellEnd"/>
      <w:r w:rsidRPr="003C05DD">
        <w:rPr>
          <w:rFonts w:ascii="Arial" w:hAnsi="Arial" w:cs="Arial"/>
          <w:sz w:val="20"/>
          <w:szCs w:val="20"/>
          <w:lang w:val="pt-BR"/>
        </w:rPr>
        <w:t>.], v.</w:t>
      </w:r>
      <w:r>
        <w:rPr>
          <w:rFonts w:ascii="Arial" w:hAnsi="Arial" w:cs="Arial"/>
          <w:sz w:val="20"/>
          <w:szCs w:val="20"/>
          <w:lang w:val="pt-BR"/>
        </w:rPr>
        <w:t xml:space="preserve"> 3, n. 5, p. 406-415, 2011.</w:t>
      </w:r>
    </w:p>
    <w:p w14:paraId="507C45C0" w14:textId="16328D0E" w:rsidR="00EA1D46" w:rsidRDefault="00EA1D46" w:rsidP="00D37E17"/>
    <w:sectPr w:rsidR="00EA1D46" w:rsidSect="001E3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576C3" w14:textId="77777777" w:rsidR="00C14D5F" w:rsidRDefault="00C14D5F" w:rsidP="007F30A2">
      <w:pPr>
        <w:spacing w:after="0" w:line="240" w:lineRule="auto"/>
      </w:pPr>
      <w:r>
        <w:separator/>
      </w:r>
    </w:p>
  </w:endnote>
  <w:endnote w:type="continuationSeparator" w:id="0">
    <w:p w14:paraId="385BCB34" w14:textId="77777777" w:rsidR="00C14D5F" w:rsidRDefault="00C14D5F" w:rsidP="007F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BBF0" w14:textId="77777777" w:rsidR="009C1857" w:rsidRDefault="009C1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EE26" w14:textId="729E2745" w:rsidR="006665AB" w:rsidRDefault="006665AB">
    <w:pPr>
      <w:pStyle w:val="Rodap"/>
    </w:pPr>
  </w:p>
  <w:p w14:paraId="3CF76E50" w14:textId="10FF1A2A" w:rsidR="006665AB" w:rsidRDefault="006665AB" w:rsidP="007F30A2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59B74A2" wp14:editId="519A0061">
          <wp:extent cx="7569200" cy="67022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423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51D37" w14:textId="77777777" w:rsidR="009C1857" w:rsidRDefault="009C18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1082" w14:textId="77777777" w:rsidR="00C14D5F" w:rsidRDefault="00C14D5F" w:rsidP="007F30A2">
      <w:pPr>
        <w:spacing w:after="0" w:line="240" w:lineRule="auto"/>
      </w:pPr>
      <w:r>
        <w:separator/>
      </w:r>
    </w:p>
  </w:footnote>
  <w:footnote w:type="continuationSeparator" w:id="0">
    <w:p w14:paraId="394C60E6" w14:textId="77777777" w:rsidR="00C14D5F" w:rsidRDefault="00C14D5F" w:rsidP="007F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A5F9" w14:textId="77777777" w:rsidR="009C1857" w:rsidRDefault="009C1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BD90" w14:textId="3A65807A" w:rsidR="006665AB" w:rsidRPr="001E33B6" w:rsidRDefault="001E33B6" w:rsidP="009C1857">
    <w:pPr>
      <w:pStyle w:val="Cabealho"/>
      <w:ind w:right="-994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0611B226">
          <wp:simplePos x="0" y="0"/>
          <wp:positionH relativeFrom="margin">
            <wp:posOffset>-723900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556F" w14:textId="043FC904" w:rsidR="001E33B6" w:rsidRPr="001E33B6" w:rsidRDefault="007C527E" w:rsidP="001E33B6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1E33B6" w:rsidRP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45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 filled="f" stroked="f">
              <v:textbox>
                <w:txbxContent>
                  <w:p w14:paraId="45C9556F" w14:textId="043FC904" w:rsidR="001E33B6" w:rsidRPr="001E33B6" w:rsidRDefault="007C527E" w:rsidP="001E33B6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="001E33B6" w:rsidRP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65AB" w:rsidRPr="001E33B6">
      <w:rPr>
        <w:b/>
        <w:i/>
        <w:color w:val="7F7F7F" w:themeColor="text1" w:themeTint="80"/>
      </w:rPr>
      <w:t>VI Seminário de Avaliação de Pesquisa Científica e Tecnológica SENAI CIMATEC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FF87" w14:textId="77777777" w:rsidR="009C1857" w:rsidRDefault="009C18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2"/>
    <w:rsid w:val="001C4F37"/>
    <w:rsid w:val="001E33B6"/>
    <w:rsid w:val="002569DF"/>
    <w:rsid w:val="002D5056"/>
    <w:rsid w:val="00321BC5"/>
    <w:rsid w:val="003F41E3"/>
    <w:rsid w:val="0042580C"/>
    <w:rsid w:val="0042591F"/>
    <w:rsid w:val="004537C6"/>
    <w:rsid w:val="00454A12"/>
    <w:rsid w:val="00562F7D"/>
    <w:rsid w:val="005A5E79"/>
    <w:rsid w:val="005C24BB"/>
    <w:rsid w:val="0062668B"/>
    <w:rsid w:val="006665AB"/>
    <w:rsid w:val="00686EE4"/>
    <w:rsid w:val="007518E9"/>
    <w:rsid w:val="007839C7"/>
    <w:rsid w:val="007C527E"/>
    <w:rsid w:val="007F30A2"/>
    <w:rsid w:val="00855732"/>
    <w:rsid w:val="00885F54"/>
    <w:rsid w:val="00900CE7"/>
    <w:rsid w:val="009C1857"/>
    <w:rsid w:val="00A10F98"/>
    <w:rsid w:val="00A57E58"/>
    <w:rsid w:val="00AE2E60"/>
    <w:rsid w:val="00B21AFE"/>
    <w:rsid w:val="00B60C26"/>
    <w:rsid w:val="00C11064"/>
    <w:rsid w:val="00C14D5F"/>
    <w:rsid w:val="00C43789"/>
    <w:rsid w:val="00C44F90"/>
    <w:rsid w:val="00C47163"/>
    <w:rsid w:val="00C87840"/>
    <w:rsid w:val="00CE36A5"/>
    <w:rsid w:val="00D2107B"/>
    <w:rsid w:val="00D37E17"/>
    <w:rsid w:val="00E2094B"/>
    <w:rsid w:val="00E62345"/>
    <w:rsid w:val="00EA1D46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B6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30A2"/>
  </w:style>
  <w:style w:type="character" w:styleId="Hyperlink">
    <w:name w:val="Hyperlink"/>
    <w:basedOn w:val="Fontepargpadro"/>
    <w:uiPriority w:val="99"/>
    <w:semiHidden/>
    <w:unhideWhenUsed/>
    <w:rsid w:val="00AE2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am@fieb.org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1935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AGUIAR SUAREZ</dc:creator>
  <cp:keywords/>
  <dc:description/>
  <cp:lastModifiedBy>Cíntia</cp:lastModifiedBy>
  <cp:revision>2</cp:revision>
  <dcterms:created xsi:type="dcterms:W3CDTF">2021-04-29T19:03:00Z</dcterms:created>
  <dcterms:modified xsi:type="dcterms:W3CDTF">2021-04-29T19:03:00Z</dcterms:modified>
</cp:coreProperties>
</file>