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A7475" w14:textId="012A4528" w:rsidR="00DE1767" w:rsidRDefault="00DE1767" w:rsidP="00DE1767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AVALIAÇÃO DA CADEIA PRODUTIVA DE BIODIESEL DE ÓLEO RESIDUAL DE FRITURA: UMA CONTRIBUIÇÃO PARA A ECONOMIA CIRCULAR</w:t>
      </w:r>
    </w:p>
    <w:p w14:paraId="44A1738D" w14:textId="6322D3AE" w:rsidR="00EF14FE" w:rsidRDefault="00EF14FE" w:rsidP="00EF14FE">
      <w:pPr>
        <w:spacing w:after="0" w:line="240" w:lineRule="auto"/>
        <w:rPr>
          <w:rFonts w:ascii="Arial" w:hAnsi="Arial" w:cs="Arial"/>
          <w:b/>
          <w:lang w:val="pt-BR"/>
        </w:rPr>
      </w:pPr>
    </w:p>
    <w:p w14:paraId="51942A3A" w14:textId="1CBFFC40" w:rsidR="00EF14FE" w:rsidRDefault="00EF14FE" w:rsidP="00EF14FE">
      <w:pPr>
        <w:spacing w:after="0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FREITAS, Emmanuelle</w:t>
      </w:r>
      <w:r>
        <w:rPr>
          <w:rFonts w:ascii="Arial" w:hAnsi="Arial" w:cs="Arial"/>
          <w:color w:val="000000"/>
          <w:sz w:val="18"/>
          <w:szCs w:val="18"/>
        </w:rPr>
        <w:t>¹; XAVIER, Lúcia Helena ²; GUARIEIRO, Lilian Lefol Nani ³</w:t>
      </w:r>
    </w:p>
    <w:p w14:paraId="3C24DBAC" w14:textId="77777777" w:rsidR="00EF14FE" w:rsidRDefault="00EF14FE" w:rsidP="00EF14FE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¹</w:t>
      </w:r>
      <w:r>
        <w:rPr>
          <w:rFonts w:ascii="Arial" w:hAnsi="Arial" w:cs="Arial"/>
          <w:b/>
          <w:color w:val="000000"/>
          <w:sz w:val="18"/>
          <w:szCs w:val="18"/>
        </w:rPr>
        <w:t>Emmanuelle Soares de Carvalho Freitas</w:t>
      </w:r>
      <w:r>
        <w:rPr>
          <w:rFonts w:ascii="Arial" w:hAnsi="Arial" w:cs="Arial"/>
          <w:color w:val="000000"/>
          <w:sz w:val="18"/>
          <w:szCs w:val="18"/>
        </w:rPr>
        <w:t>, Doutoranda em Gestão e Tecnologia Industrial (GETEC), Centro Universitário SENAI CIMATEC, Salvador, BA, Brasil. Bolsa: FAPESB - Período da Bolsa: 01/05/2017 a 31/01/2021; emmanuelle-freitas@hotmail.com</w:t>
      </w:r>
    </w:p>
    <w:p w14:paraId="6D0C1ED6" w14:textId="77777777" w:rsidR="00EF14FE" w:rsidRDefault="00EF14FE" w:rsidP="00EF14FE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²Lúcia Helena Xavier, Doutora em Engenharia de Produção, Centro de Tecnologia de Mineração, CETEM, Rio de Janeiro, RJ, Brasil. </w:t>
      </w:r>
      <w:hyperlink r:id="rId7" w:history="1">
        <w:r w:rsidRPr="00EF14F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lxavier@cetem.gov.br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0507F148" w14:textId="77777777" w:rsidR="00EF14FE" w:rsidRDefault="00EF14FE" w:rsidP="00EF14F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³Lilian Lefol Nani Guarieiro, Doutora em Química, Centro Universitário SENAI CIMATEC, Salvador, BA, Brasil. </w:t>
      </w:r>
      <w:hyperlink r:id="rId8" w:history="1">
        <w:r w:rsidRPr="00EF14F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Lilian.guarieiro@fieb.org.br</w:t>
        </w:r>
      </w:hyperlink>
    </w:p>
    <w:p w14:paraId="4A1FB34C" w14:textId="77777777" w:rsidR="00EF14FE" w:rsidRDefault="00EF14FE" w:rsidP="00EF14FE">
      <w:pPr>
        <w:spacing w:after="0" w:line="240" w:lineRule="auto"/>
        <w:rPr>
          <w:rFonts w:ascii="Arial" w:hAnsi="Arial" w:cs="Arial"/>
          <w:b/>
          <w:lang w:val="pt-BR"/>
        </w:rPr>
      </w:pPr>
    </w:p>
    <w:p w14:paraId="458DEC1E" w14:textId="39335BC0" w:rsidR="00DE1767" w:rsidRDefault="00DE1767" w:rsidP="005311A1">
      <w:pPr>
        <w:spacing w:line="24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 w:val="20"/>
          <w:lang w:val="pt-BR"/>
        </w:rPr>
        <w:t>RESUMO</w:t>
      </w:r>
    </w:p>
    <w:p w14:paraId="7D471046" w14:textId="58BA7E0A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O presente artigo teve como objetivo avaliar as contribuições da cadeia de biodiesel a partir do reaproveitamento do óleo residual de fritura para a economia circular. </w:t>
      </w:r>
      <w:r>
        <w:rPr>
          <w:rFonts w:ascii="Arial" w:hAnsi="Arial" w:cs="Arial"/>
          <w:sz w:val="20"/>
          <w:szCs w:val="20"/>
        </w:rPr>
        <w:t xml:space="preserve">A necessidade em adequar os processos produtivos aos novos paradigmas da economia circular, transformando os resíduos em insumos produtivos, representa um grande desafio. A produção de fontes alternativas de energia a partir de matéria-prima residual representa uma significativa contribuição dentro do conceito da economia circular. Desta forma, </w:t>
      </w:r>
      <w:proofErr w:type="gramStart"/>
      <w:r>
        <w:rPr>
          <w:rFonts w:ascii="Arial" w:hAnsi="Arial" w:cs="Arial"/>
          <w:sz w:val="20"/>
          <w:szCs w:val="20"/>
        </w:rPr>
        <w:t>este</w:t>
      </w:r>
      <w:proofErr w:type="gramEnd"/>
      <w:r>
        <w:rPr>
          <w:rFonts w:ascii="Arial" w:hAnsi="Arial" w:cs="Arial"/>
          <w:sz w:val="20"/>
          <w:szCs w:val="20"/>
        </w:rPr>
        <w:t xml:space="preserve"> trabalho utiliza a economia circular para o desenvolvimento de um modelo de integração do óleo residual na cadeia de produção e uso do biodiesel. O modelo desenvolvido avaliou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inserção deste resíduo para benefícios da cadeia de biodiesel e de novas cadeias produtivas. Os resultados demonstram que o modelo apresentado traz vantagens ambientais e econômicos, numa perspectiva voltada para sustentabilidade, por meio da integração dos resíduos </w:t>
      </w:r>
      <w:proofErr w:type="gramStart"/>
      <w:r>
        <w:rPr>
          <w:rFonts w:ascii="Arial" w:hAnsi="Arial" w:cs="Arial"/>
          <w:sz w:val="20"/>
          <w:szCs w:val="20"/>
        </w:rPr>
        <w:t>como</w:t>
      </w:r>
      <w:proofErr w:type="gramEnd"/>
      <w:r>
        <w:rPr>
          <w:rFonts w:ascii="Arial" w:hAnsi="Arial" w:cs="Arial"/>
          <w:sz w:val="20"/>
          <w:szCs w:val="20"/>
        </w:rPr>
        <w:t xml:space="preserve"> parte do processo produtivo.</w:t>
      </w:r>
    </w:p>
    <w:p w14:paraId="2A484DEF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32E29115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Palavras-chaves</w:t>
      </w:r>
      <w:r>
        <w:rPr>
          <w:rFonts w:ascii="Arial" w:hAnsi="Arial" w:cs="Arial"/>
          <w:sz w:val="18"/>
          <w:szCs w:val="18"/>
          <w:lang w:val="pt-BR"/>
        </w:rPr>
        <w:t>: Óleo Residual de Fritura; Biodiesel, Economia Circular.</w:t>
      </w:r>
    </w:p>
    <w:p w14:paraId="38E4A281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</w:p>
    <w:p w14:paraId="363AFA78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1. INTRODUÇÃO</w:t>
      </w:r>
    </w:p>
    <w:p w14:paraId="0FA78BA3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0C26FD8C" w14:textId="0B9B431F" w:rsidR="00DE1767" w:rsidRDefault="00980C2C" w:rsidP="00DE176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Nos</w:t>
      </w:r>
      <w:r w:rsidR="00DE1767">
        <w:rPr>
          <w:rFonts w:ascii="Arial" w:eastAsia="Arial" w:hAnsi="Arial" w:cs="Arial"/>
          <w:color w:val="000000"/>
          <w:sz w:val="20"/>
          <w:szCs w:val="20"/>
        </w:rPr>
        <w:t xml:space="preserve"> últimos anos, os esforços para se desenvolver produtos e serviços mais sustentáveis e eficientes, com redução dos impactos ambientais, são questões que impulsionam a necessidade de zerar o desperdício e ainda obter ganhos econômicos e ambientais. Verifica-se, portanto, a inevitabilidade da transição de uma economia li</w:t>
      </w:r>
      <w:r w:rsidR="007A25F9">
        <w:rPr>
          <w:rFonts w:ascii="Arial" w:eastAsia="Arial" w:hAnsi="Arial" w:cs="Arial"/>
          <w:color w:val="000000"/>
          <w:sz w:val="20"/>
          <w:szCs w:val="20"/>
        </w:rPr>
        <w:t>near para uma economia circular, uma vez que o</w:t>
      </w:r>
      <w:r w:rsidR="00DE1767">
        <w:rPr>
          <w:rFonts w:ascii="Arial" w:eastAsia="Arial" w:hAnsi="Arial" w:cs="Arial"/>
          <w:color w:val="000000"/>
          <w:sz w:val="20"/>
          <w:szCs w:val="20"/>
        </w:rPr>
        <w:t xml:space="preserve"> modelo tradicional (linear) segue um determinado padrão “</w:t>
      </w:r>
      <w:r w:rsidR="00DE1767">
        <w:rPr>
          <w:rFonts w:ascii="Arial" w:eastAsia="Arial" w:hAnsi="Arial" w:cs="Arial"/>
          <w:i/>
          <w:color w:val="000000"/>
          <w:sz w:val="20"/>
          <w:szCs w:val="20"/>
        </w:rPr>
        <w:t>produce-use-dispose</w:t>
      </w:r>
      <w:r w:rsidR="007A25F9">
        <w:rPr>
          <w:rFonts w:ascii="Arial" w:eastAsia="Arial" w:hAnsi="Arial" w:cs="Arial"/>
          <w:color w:val="000000"/>
          <w:sz w:val="20"/>
          <w:szCs w:val="20"/>
        </w:rPr>
        <w:t xml:space="preserve">” </w:t>
      </w:r>
      <w:r w:rsidR="00DE1767">
        <w:rPr>
          <w:rFonts w:ascii="Arial" w:eastAsia="Arial" w:hAnsi="Arial" w:cs="Arial"/>
          <w:color w:val="000000"/>
          <w:sz w:val="20"/>
          <w:szCs w:val="20"/>
        </w:rPr>
        <w:t>que se baseia no uso de fontes não renováveis e finitas, com</w:t>
      </w:r>
      <w:r w:rsidR="007A25F9">
        <w:rPr>
          <w:rFonts w:ascii="Arial" w:eastAsia="Arial" w:hAnsi="Arial" w:cs="Arial"/>
          <w:color w:val="000000"/>
          <w:sz w:val="20"/>
          <w:szCs w:val="20"/>
        </w:rPr>
        <w:t xml:space="preserve"> descarte de forma inapropriada. Enquanto </w:t>
      </w:r>
      <w:proofErr w:type="gramStart"/>
      <w:r w:rsidR="007A25F9"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 w:rsidR="007A25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E1767">
        <w:rPr>
          <w:rFonts w:ascii="Arial" w:eastAsia="Arial" w:hAnsi="Arial" w:cs="Arial"/>
          <w:color w:val="000000"/>
          <w:sz w:val="20"/>
          <w:szCs w:val="20"/>
        </w:rPr>
        <w:t>economia circular, pressupõe sistemas regenerativos, restaurativos e circulares</w:t>
      </w:r>
      <w:r w:rsidR="007A25F9">
        <w:rPr>
          <w:rFonts w:ascii="Arial" w:eastAsia="Arial" w:hAnsi="Arial" w:cs="Arial"/>
          <w:color w:val="000000"/>
          <w:sz w:val="20"/>
          <w:szCs w:val="20"/>
        </w:rPr>
        <w:t>, baseadas na reinserção dos resíduos e produtos pós-consumo na cadeia produtiva</w:t>
      </w:r>
      <w:r>
        <w:rPr>
          <w:rFonts w:ascii="Arial" w:eastAsia="Arial" w:hAnsi="Arial" w:cs="Arial"/>
          <w:color w:val="000000"/>
          <w:sz w:val="20"/>
          <w:szCs w:val="20"/>
        </w:rPr>
        <w:t>.¹</w:t>
      </w:r>
    </w:p>
    <w:p w14:paraId="4B4B7589" w14:textId="0FDCF275" w:rsidR="007A25F9" w:rsidRDefault="007A25F9" w:rsidP="007A25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Assim, </w:t>
      </w:r>
      <w:r>
        <w:rPr>
          <w:rFonts w:ascii="Arial" w:eastAsia="Arial" w:hAnsi="Arial" w:cs="Arial"/>
          <w:color w:val="000000"/>
          <w:sz w:val="20"/>
          <w:szCs w:val="20"/>
        </w:rPr>
        <w:t>a transformação de um resíduo em fonte de energia limpa, representa uma valorização desta matéria-prima, por meio da utilização em outros procesos,</w:t>
      </w:r>
      <w:r>
        <w:rPr>
          <w:rFonts w:ascii="Arial" w:hAnsi="Arial" w:cs="Arial"/>
          <w:sz w:val="20"/>
          <w:szCs w:val="20"/>
          <w:lang w:val="pt-BR"/>
        </w:rPr>
        <w:t xml:space="preserve"> contribuindo para soluções que estejam associadas ao compromisso de sustentabilidade do país, impulsionando a necessidade de ações que abordem uma perspectiva conjunta de inovação e sustentabilidade em todos os setores produtivos, incluindo o setor energético.</w:t>
      </w:r>
    </w:p>
    <w:p w14:paraId="4E09C8D0" w14:textId="069469BF" w:rsidR="007A25F9" w:rsidRPr="007A25F9" w:rsidRDefault="007A25F9" w:rsidP="00DE1767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A25F9">
        <w:rPr>
          <w:rFonts w:ascii="Arial" w:hAnsi="Arial" w:cs="Arial"/>
          <w:sz w:val="20"/>
          <w:szCs w:val="20"/>
        </w:rPr>
        <w:t xml:space="preserve">A mudança no setor energético faz-se necessária, levando em consideração os impactos negativos que o </w:t>
      </w:r>
      <w:proofErr w:type="gramStart"/>
      <w:r w:rsidRPr="007A25F9">
        <w:rPr>
          <w:rFonts w:ascii="Arial" w:hAnsi="Arial" w:cs="Arial"/>
          <w:sz w:val="20"/>
          <w:szCs w:val="20"/>
        </w:rPr>
        <w:t>uso</w:t>
      </w:r>
      <w:proofErr w:type="gramEnd"/>
      <w:r w:rsidRPr="007A25F9">
        <w:rPr>
          <w:rFonts w:ascii="Arial" w:hAnsi="Arial" w:cs="Arial"/>
          <w:sz w:val="20"/>
          <w:szCs w:val="20"/>
        </w:rPr>
        <w:t xml:space="preserve"> dos combustíveis de origem fóssil geram na sociedade hodierna, além da possibilidade de escassez de recursos energéticos e da crescente </w:t>
      </w:r>
      <w:r>
        <w:rPr>
          <w:rFonts w:ascii="Arial" w:hAnsi="Arial" w:cs="Arial"/>
          <w:sz w:val="20"/>
          <w:szCs w:val="20"/>
        </w:rPr>
        <w:t>preocupação com o meio ambiente</w:t>
      </w:r>
      <w:r w:rsidRPr="007A25F9">
        <w:rPr>
          <w:rFonts w:ascii="Arial" w:hAnsi="Arial" w:cs="Arial"/>
          <w:sz w:val="20"/>
          <w:szCs w:val="20"/>
        </w:rPr>
        <w:t xml:space="preserve">. Os biocombustíveis se destacam </w:t>
      </w:r>
      <w:proofErr w:type="gramStart"/>
      <w:r w:rsidRPr="007A25F9">
        <w:rPr>
          <w:rFonts w:ascii="Arial" w:hAnsi="Arial" w:cs="Arial"/>
          <w:sz w:val="20"/>
          <w:szCs w:val="20"/>
        </w:rPr>
        <w:t>como</w:t>
      </w:r>
      <w:proofErr w:type="gramEnd"/>
      <w:r w:rsidRPr="007A25F9">
        <w:rPr>
          <w:rFonts w:ascii="Arial" w:hAnsi="Arial" w:cs="Arial"/>
          <w:sz w:val="20"/>
          <w:szCs w:val="20"/>
        </w:rPr>
        <w:t xml:space="preserve"> uma fonte de energia alternativa ao modelo padrão energético, uma vez que podem ser produzidos a partir de várias matérias-primas cultiváveis em nosso país, incluindo as de origem residual como os óleos utilizados em fritura. </w:t>
      </w:r>
      <w:r w:rsidR="001D40CC">
        <w:rPr>
          <w:rFonts w:ascii="Arial" w:hAnsi="Arial" w:cs="Arial"/>
          <w:sz w:val="20"/>
          <w:szCs w:val="20"/>
        </w:rPr>
        <w:t>²</w:t>
      </w:r>
    </w:p>
    <w:p w14:paraId="71C863D2" w14:textId="07DF65CE" w:rsidR="00445B17" w:rsidRDefault="00DE1767" w:rsidP="00445B17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Neste contexto, </w:t>
      </w:r>
      <w:r w:rsidR="00445B17">
        <w:rPr>
          <w:rFonts w:ascii="Arial" w:hAnsi="Arial" w:cs="Arial"/>
          <w:sz w:val="20"/>
          <w:szCs w:val="20"/>
          <w:lang w:val="pt-BR"/>
        </w:rPr>
        <w:t xml:space="preserve"> </w:t>
      </w:r>
      <w:r w:rsidR="00445B17">
        <w:rPr>
          <w:rFonts w:ascii="Arial" w:hAnsi="Arial" w:cs="Arial"/>
          <w:sz w:val="20"/>
          <w:szCs w:val="20"/>
        </w:rPr>
        <w:t xml:space="preserve">considerando o enfoque deste trabalho no uso do óleo residual de fritura como matéria-prima para a produção do biodiesel, o presente artigo apresenta uma avaliação sobre a transformação de um resíduo em fonte de energia limpa, </w:t>
      </w:r>
      <w:r w:rsidR="00445B17">
        <w:rPr>
          <w:rFonts w:ascii="Arial" w:hAnsi="Arial" w:cs="Arial"/>
          <w:sz w:val="20"/>
          <w:szCs w:val="20"/>
          <w:lang w:val="pt-BR"/>
        </w:rPr>
        <w:t xml:space="preserve">utilizando a </w:t>
      </w:r>
      <w:r w:rsidR="00445B17">
        <w:rPr>
          <w:rFonts w:ascii="Arial" w:eastAsia="Arial" w:hAnsi="Arial" w:cs="Arial"/>
          <w:color w:val="000000"/>
          <w:sz w:val="20"/>
          <w:szCs w:val="20"/>
        </w:rPr>
        <w:t xml:space="preserve">economia circular como um instrumento que promove a circularidade dos recursos, </w:t>
      </w:r>
      <w:r w:rsidR="00445B17">
        <w:rPr>
          <w:rFonts w:ascii="Arial" w:hAnsi="Arial" w:cs="Arial"/>
          <w:sz w:val="20"/>
          <w:szCs w:val="20"/>
          <w:lang w:val="pt-BR"/>
        </w:rPr>
        <w:t xml:space="preserve">possibilitando de transformação de um resíduo em fonte de energia limpa, através de </w:t>
      </w:r>
      <w:r w:rsidR="00445B17">
        <w:rPr>
          <w:rFonts w:ascii="Arial" w:eastAsia="Arial" w:hAnsi="Arial" w:cs="Arial"/>
          <w:sz w:val="20"/>
          <w:szCs w:val="20"/>
        </w:rPr>
        <w:t>um modelo estruturado, coordenando sistemas de produção e consumo em circuitos fechados.</w:t>
      </w:r>
      <w:r w:rsidR="00445B17" w:rsidRPr="00445B17">
        <w:rPr>
          <w:rFonts w:ascii="Arial" w:hAnsi="Arial" w:cs="Arial"/>
          <w:sz w:val="20"/>
          <w:szCs w:val="20"/>
        </w:rPr>
        <w:t xml:space="preserve"> </w:t>
      </w:r>
    </w:p>
    <w:p w14:paraId="1624900B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2. METODOLOGIA</w:t>
      </w:r>
    </w:p>
    <w:p w14:paraId="13B6B251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4F3D63B" w14:textId="35177C0F" w:rsidR="00EC1D73" w:rsidRPr="00EC1D73" w:rsidRDefault="00F24986" w:rsidP="00EC1D7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Este</w:t>
      </w:r>
      <w:r w:rsidR="009D5C02" w:rsidRPr="009D5C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resumo expandido qualitativo</w:t>
      </w:r>
      <w:r w:rsidR="009D5C02" w:rsidRPr="009D5C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buscou, de forma exploratória, uma revisão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literatura </w:t>
      </w:r>
      <w:r w:rsidR="009D5C02" w:rsidRPr="009D5C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consolidar aspectos relacionados ao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óleo residual de fritura como insumo produtivo, através da utilização de </w:t>
      </w:r>
      <w:r>
        <w:rPr>
          <w:rFonts w:ascii="Arial" w:hAnsi="Arial" w:cs="Arial"/>
          <w:sz w:val="20"/>
          <w:szCs w:val="20"/>
          <w:lang w:val="pt-BR"/>
        </w:rPr>
        <w:t xml:space="preserve">um modelo integrativo baseado nos conceitos da economia circular.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Desta forma, torna-se</w:t>
      </w:r>
      <w:r w:rsidRPr="009D5C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possível </w:t>
      </w:r>
      <w:r w:rsidR="00C83456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analisar</w:t>
      </w:r>
      <w:r w:rsidRPr="00F249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o </w:t>
      </w:r>
      <w:r>
        <w:rPr>
          <w:rFonts w:ascii="Arial" w:hAnsi="Arial" w:cs="Arial"/>
          <w:sz w:val="20"/>
          <w:szCs w:val="20"/>
        </w:rPr>
        <w:t>beneficiamento de</w:t>
      </w:r>
      <w:r w:rsidR="00E56E89">
        <w:rPr>
          <w:rFonts w:ascii="Arial" w:hAnsi="Arial" w:cs="Arial"/>
          <w:sz w:val="20"/>
          <w:szCs w:val="20"/>
        </w:rPr>
        <w:t xml:space="preserve"> novos mercados, </w:t>
      </w:r>
      <w:r>
        <w:rPr>
          <w:rFonts w:ascii="Arial" w:hAnsi="Arial" w:cs="Arial"/>
          <w:sz w:val="20"/>
          <w:szCs w:val="20"/>
        </w:rPr>
        <w:t>por meio d</w:t>
      </w:r>
      <w:r w:rsidR="00E56E89">
        <w:rPr>
          <w:rFonts w:ascii="Arial" w:hAnsi="Arial" w:cs="Arial"/>
          <w:sz w:val="20"/>
          <w:szCs w:val="20"/>
        </w:rPr>
        <w:t>a sinergia entre as indústrias e d</w:t>
      </w:r>
      <w:r>
        <w:rPr>
          <w:rFonts w:ascii="Arial" w:hAnsi="Arial" w:cs="Arial"/>
          <w:sz w:val="20"/>
          <w:szCs w:val="20"/>
        </w:rPr>
        <w:t xml:space="preserve">o </w:t>
      </w:r>
      <w:r w:rsidRPr="00EC1D73">
        <w:rPr>
          <w:rFonts w:ascii="Arial" w:hAnsi="Arial" w:cs="Arial"/>
          <w:sz w:val="20"/>
          <w:szCs w:val="20"/>
        </w:rPr>
        <w:lastRenderedPageBreak/>
        <w:t xml:space="preserve">compartilhamento dos produtos, </w:t>
      </w:r>
      <w:r w:rsidRPr="00EC1D73">
        <w:rPr>
          <w:rFonts w:ascii="Arial" w:hAnsi="Arial" w:cs="Arial"/>
          <w:sz w:val="20"/>
          <w:szCs w:val="20"/>
          <w:shd w:val="clear" w:color="auto" w:fill="FFFFFF"/>
        </w:rPr>
        <w:t xml:space="preserve">realizando um intercâmbio de materiais para serem usados </w:t>
      </w:r>
      <w:proofErr w:type="gramStart"/>
      <w:r w:rsidRPr="00EC1D73">
        <w:rPr>
          <w:rFonts w:ascii="Arial" w:hAnsi="Arial" w:cs="Arial"/>
          <w:sz w:val="20"/>
          <w:szCs w:val="20"/>
          <w:shd w:val="clear" w:color="auto" w:fill="FFFFFF"/>
        </w:rPr>
        <w:t>como</w:t>
      </w:r>
      <w:proofErr w:type="gramEnd"/>
      <w:r w:rsidRPr="00EC1D73">
        <w:rPr>
          <w:rFonts w:ascii="Arial" w:hAnsi="Arial" w:cs="Arial"/>
          <w:sz w:val="20"/>
          <w:szCs w:val="20"/>
          <w:shd w:val="clear" w:color="auto" w:fill="FFFFFF"/>
        </w:rPr>
        <w:t xml:space="preserve"> insumos produtivos, estruturando um ciclo fechado de produção</w:t>
      </w:r>
      <w:r w:rsidRPr="00EC1D73">
        <w:rPr>
          <w:rFonts w:ascii="Arial" w:hAnsi="Arial" w:cs="Arial"/>
          <w:sz w:val="20"/>
          <w:szCs w:val="20"/>
        </w:rPr>
        <w:t>.</w:t>
      </w:r>
      <w:r w:rsidR="009D5C02" w:rsidRPr="009D5C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E1767" w:rsidRPr="00EC1D73">
        <w:rPr>
          <w:rFonts w:ascii="Arial" w:hAnsi="Arial" w:cs="Arial"/>
          <w:sz w:val="20"/>
          <w:szCs w:val="20"/>
        </w:rPr>
        <w:t>O reuso de resíduos, dentro de uma nova alternativa de produção, pode estimular competitividade ao setor energético nacional, ao estabelecer uma ligação en</w:t>
      </w:r>
      <w:r w:rsidR="00EC1D73">
        <w:rPr>
          <w:rFonts w:ascii="Arial" w:hAnsi="Arial" w:cs="Arial"/>
          <w:sz w:val="20"/>
          <w:szCs w:val="20"/>
        </w:rPr>
        <w:t xml:space="preserve">tre inovação e sustentabilidade. </w:t>
      </w:r>
      <w:r w:rsidR="00EC1D73" w:rsidRPr="00EC1D73">
        <w:rPr>
          <w:rFonts w:ascii="Arial" w:hAnsi="Arial" w:cs="Arial"/>
          <w:sz w:val="20"/>
          <w:szCs w:val="20"/>
          <w:lang w:val="pt-BR"/>
        </w:rPr>
        <w:t xml:space="preserve">De posse </w:t>
      </w:r>
      <w:r w:rsidR="00EC1D73">
        <w:rPr>
          <w:rFonts w:ascii="Arial" w:hAnsi="Arial" w:cs="Arial"/>
          <w:sz w:val="20"/>
          <w:szCs w:val="20"/>
          <w:lang w:val="pt-BR"/>
        </w:rPr>
        <w:t>das informações apresentada</w:t>
      </w:r>
      <w:r w:rsidR="00EC1D73" w:rsidRPr="00EC1D73">
        <w:rPr>
          <w:rFonts w:ascii="Arial" w:hAnsi="Arial" w:cs="Arial"/>
          <w:sz w:val="20"/>
          <w:szCs w:val="20"/>
          <w:lang w:val="pt-BR"/>
        </w:rPr>
        <w:t>s e a</w:t>
      </w:r>
      <w:r w:rsidR="00EC1D73">
        <w:rPr>
          <w:rFonts w:ascii="Arial" w:hAnsi="Arial" w:cs="Arial"/>
          <w:sz w:val="20"/>
          <w:szCs w:val="20"/>
          <w:lang w:val="pt-BR"/>
        </w:rPr>
        <w:t>nalisada</w:t>
      </w:r>
      <w:r w:rsidR="00EC1D73" w:rsidRPr="00EC1D73">
        <w:rPr>
          <w:rFonts w:ascii="Arial" w:hAnsi="Arial" w:cs="Arial"/>
          <w:sz w:val="20"/>
          <w:szCs w:val="20"/>
          <w:lang w:val="pt-BR"/>
        </w:rPr>
        <w:t>s até aqui foi possível a concepção do Sistema</w:t>
      </w:r>
      <w:r w:rsidR="00EC1D73">
        <w:rPr>
          <w:rFonts w:ascii="Arial" w:hAnsi="Arial" w:cs="Arial"/>
          <w:sz w:val="20"/>
          <w:szCs w:val="20"/>
          <w:lang w:val="pt-BR"/>
        </w:rPr>
        <w:t xml:space="preserve"> </w:t>
      </w:r>
      <w:r w:rsidR="00EC1D73" w:rsidRPr="00EC1D73">
        <w:rPr>
          <w:rFonts w:ascii="Arial" w:hAnsi="Arial" w:cs="Arial"/>
          <w:sz w:val="20"/>
          <w:szCs w:val="20"/>
          <w:lang w:val="pt-BR"/>
        </w:rPr>
        <w:t xml:space="preserve">de </w:t>
      </w:r>
      <w:r w:rsidR="00EC1D73">
        <w:rPr>
          <w:rFonts w:ascii="Arial" w:hAnsi="Arial" w:cs="Arial"/>
          <w:sz w:val="20"/>
          <w:szCs w:val="20"/>
          <w:lang w:val="pt-BR"/>
        </w:rPr>
        <w:t>Economia Circular (SEC</w:t>
      </w:r>
      <w:r w:rsidR="00EC1D73" w:rsidRPr="00EC1D73">
        <w:rPr>
          <w:rFonts w:ascii="Arial" w:hAnsi="Arial" w:cs="Arial"/>
          <w:sz w:val="20"/>
          <w:szCs w:val="20"/>
          <w:lang w:val="pt-BR"/>
        </w:rPr>
        <w:t xml:space="preserve">) para o uso do </w:t>
      </w:r>
      <w:r w:rsidR="00EC1D73">
        <w:rPr>
          <w:rFonts w:ascii="Arial" w:hAnsi="Arial" w:cs="Arial"/>
          <w:sz w:val="20"/>
          <w:szCs w:val="20"/>
          <w:lang w:val="pt-BR"/>
        </w:rPr>
        <w:t>óleo residual</w:t>
      </w:r>
      <w:r w:rsidR="00EC1D73" w:rsidRPr="00EC1D73">
        <w:rPr>
          <w:rFonts w:ascii="Arial" w:hAnsi="Arial" w:cs="Arial"/>
          <w:sz w:val="20"/>
          <w:szCs w:val="20"/>
          <w:lang w:val="pt-BR"/>
        </w:rPr>
        <w:t xml:space="preserve"> como matéria-prima para a produção</w:t>
      </w:r>
      <w:r w:rsidR="00EC1D73">
        <w:rPr>
          <w:rFonts w:ascii="Arial" w:hAnsi="Arial" w:cs="Arial"/>
          <w:sz w:val="20"/>
          <w:szCs w:val="20"/>
          <w:lang w:val="pt-BR"/>
        </w:rPr>
        <w:t xml:space="preserve"> </w:t>
      </w:r>
      <w:r w:rsidR="00EC1D73" w:rsidRPr="00EC1D73">
        <w:rPr>
          <w:rFonts w:ascii="Arial" w:hAnsi="Arial" w:cs="Arial"/>
          <w:sz w:val="20"/>
          <w:szCs w:val="20"/>
          <w:lang w:val="pt-BR"/>
        </w:rPr>
        <w:t>do biodiesel no Brasil</w:t>
      </w:r>
      <w:r w:rsidR="00EC1D73">
        <w:rPr>
          <w:rFonts w:ascii="Arial" w:hAnsi="Arial" w:cs="Arial"/>
          <w:sz w:val="20"/>
          <w:szCs w:val="20"/>
          <w:lang w:val="pt-BR"/>
        </w:rPr>
        <w:t xml:space="preserve"> e o beneficiamento de outras indústrias a partir da reutilização deste resíduo</w:t>
      </w:r>
      <w:r w:rsidR="00EC1D73" w:rsidRPr="00EC1D73">
        <w:rPr>
          <w:rFonts w:ascii="Arial" w:hAnsi="Arial" w:cs="Arial"/>
          <w:sz w:val="20"/>
          <w:szCs w:val="20"/>
          <w:lang w:val="pt-BR"/>
        </w:rPr>
        <w:t>.</w:t>
      </w:r>
    </w:p>
    <w:p w14:paraId="5D81A8FF" w14:textId="68344B23" w:rsidR="003A7F0F" w:rsidRDefault="00EC1D73" w:rsidP="000B1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</w:pPr>
      <w:r w:rsidRPr="00EC1D73">
        <w:rPr>
          <w:rFonts w:ascii="Arial" w:hAnsi="Arial" w:cs="Arial"/>
          <w:sz w:val="20"/>
          <w:szCs w:val="20"/>
          <w:lang w:val="pt-BR"/>
        </w:rPr>
        <w:t xml:space="preserve">Na cadeia reversa do </w:t>
      </w:r>
      <w:r w:rsidR="003A7F0F">
        <w:rPr>
          <w:rFonts w:ascii="Arial" w:hAnsi="Arial" w:cs="Arial"/>
          <w:sz w:val="20"/>
          <w:szCs w:val="20"/>
          <w:lang w:val="pt-BR"/>
        </w:rPr>
        <w:t>óleo residual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 utilizado para a produção do biodiesel existem vários</w:t>
      </w:r>
      <w:r w:rsidR="003A7F0F">
        <w:rPr>
          <w:rFonts w:ascii="Arial" w:hAnsi="Arial" w:cs="Arial"/>
          <w:sz w:val="20"/>
          <w:szCs w:val="20"/>
          <w:lang w:val="pt-BR"/>
        </w:rPr>
        <w:t xml:space="preserve"> 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segmentos </w:t>
      </w:r>
      <w:r w:rsidR="003A7F0F">
        <w:rPr>
          <w:rFonts w:ascii="Arial" w:hAnsi="Arial" w:cs="Arial"/>
          <w:sz w:val="20"/>
          <w:szCs w:val="20"/>
          <w:lang w:val="pt-BR"/>
        </w:rPr>
        <w:t>p</w:t>
      </w:r>
      <w:r w:rsidRPr="00EC1D73">
        <w:rPr>
          <w:rFonts w:ascii="Arial" w:hAnsi="Arial" w:cs="Arial"/>
          <w:sz w:val="20"/>
          <w:szCs w:val="20"/>
          <w:lang w:val="pt-BR"/>
        </w:rPr>
        <w:t>rodutivos que se beneficiam dos resíduos, produtos e coprodutos. Conforme</w:t>
      </w:r>
      <w:r w:rsidR="003A7F0F">
        <w:rPr>
          <w:rFonts w:ascii="Arial" w:hAnsi="Arial" w:cs="Arial"/>
          <w:sz w:val="20"/>
          <w:szCs w:val="20"/>
          <w:lang w:val="pt-BR"/>
        </w:rPr>
        <w:t xml:space="preserve"> apresentado na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 F</w:t>
      </w:r>
      <w:r w:rsidR="003A7F0F">
        <w:rPr>
          <w:rFonts w:ascii="Arial" w:hAnsi="Arial" w:cs="Arial"/>
          <w:sz w:val="20"/>
          <w:szCs w:val="20"/>
          <w:lang w:val="pt-BR"/>
        </w:rPr>
        <w:t>igura 1, o principal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 segmento produtivo</w:t>
      </w:r>
      <w:r w:rsidR="003A7F0F">
        <w:rPr>
          <w:rFonts w:ascii="Arial" w:hAnsi="Arial" w:cs="Arial"/>
          <w:sz w:val="20"/>
          <w:szCs w:val="20"/>
          <w:lang w:val="pt-BR"/>
        </w:rPr>
        <w:t xml:space="preserve"> é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 a </w:t>
      </w:r>
      <w:r w:rsidR="003A7F0F">
        <w:rPr>
          <w:rFonts w:ascii="Arial" w:hAnsi="Arial" w:cs="Arial"/>
          <w:sz w:val="20"/>
          <w:szCs w:val="20"/>
          <w:lang w:val="pt-BR"/>
        </w:rPr>
        <w:t>agricultura, de onde vem a oleaginosa que gera o óleo residual como resíduo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. A </w:t>
      </w:r>
      <w:r w:rsidR="003A7F0F">
        <w:rPr>
          <w:rFonts w:ascii="Arial" w:hAnsi="Arial" w:cs="Arial"/>
          <w:sz w:val="20"/>
          <w:szCs w:val="20"/>
          <w:lang w:val="pt-BR"/>
        </w:rPr>
        <w:t xml:space="preserve">indústria alimentícia, </w:t>
      </w:r>
      <w:r w:rsidRPr="00EC1D73">
        <w:rPr>
          <w:rFonts w:ascii="Arial" w:hAnsi="Arial" w:cs="Arial"/>
          <w:sz w:val="20"/>
          <w:szCs w:val="20"/>
          <w:lang w:val="pt-BR"/>
        </w:rPr>
        <w:t>graxaria</w:t>
      </w:r>
      <w:r w:rsidR="003A7F0F">
        <w:rPr>
          <w:rFonts w:ascii="Arial" w:hAnsi="Arial" w:cs="Arial"/>
          <w:sz w:val="20"/>
          <w:szCs w:val="20"/>
          <w:lang w:val="pt-BR"/>
        </w:rPr>
        <w:t xml:space="preserve">, frigorífico, curtume, pecuária e a indústria automobilística representam indústrias que são beneficiadas com a cadeia reversa do óleo residual. A indústria do biodiesel, sabão, resinas, fertilizantes e massa para vidro </w:t>
      </w:r>
      <w:r w:rsidR="003A7F0F" w:rsidRPr="00EC1D73">
        <w:rPr>
          <w:rFonts w:ascii="Arial" w:hAnsi="Arial" w:cs="Arial"/>
          <w:sz w:val="20"/>
          <w:szCs w:val="20"/>
          <w:lang w:val="pt-BR"/>
        </w:rPr>
        <w:t>configuram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 como um processo intermediário, porém de significativa</w:t>
      </w:r>
      <w:r w:rsidR="003A7F0F">
        <w:rPr>
          <w:rFonts w:ascii="Arial" w:hAnsi="Arial" w:cs="Arial"/>
          <w:sz w:val="20"/>
          <w:szCs w:val="20"/>
          <w:lang w:val="pt-BR"/>
        </w:rPr>
        <w:t xml:space="preserve"> </w:t>
      </w:r>
      <w:r w:rsidRPr="00EC1D73">
        <w:rPr>
          <w:rFonts w:ascii="Arial" w:hAnsi="Arial" w:cs="Arial"/>
          <w:sz w:val="20"/>
          <w:szCs w:val="20"/>
          <w:lang w:val="pt-BR"/>
        </w:rPr>
        <w:t>relevância e</w:t>
      </w:r>
      <w:r w:rsidR="003A7F0F">
        <w:rPr>
          <w:rFonts w:ascii="Arial" w:hAnsi="Arial" w:cs="Arial"/>
          <w:sz w:val="20"/>
          <w:szCs w:val="20"/>
          <w:lang w:val="pt-BR"/>
        </w:rPr>
        <w:t>m razão de ser responsável pela transformação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 do </w:t>
      </w:r>
      <w:r w:rsidR="003A7F0F">
        <w:rPr>
          <w:rFonts w:ascii="Arial" w:hAnsi="Arial" w:cs="Arial"/>
          <w:sz w:val="20"/>
          <w:szCs w:val="20"/>
          <w:lang w:val="pt-BR"/>
        </w:rPr>
        <w:t xml:space="preserve">óleo residual em outros </w:t>
      </w:r>
      <w:r w:rsidRPr="00EC1D73">
        <w:rPr>
          <w:rFonts w:ascii="Arial" w:hAnsi="Arial" w:cs="Arial"/>
          <w:sz w:val="20"/>
          <w:szCs w:val="20"/>
          <w:lang w:val="pt-BR"/>
        </w:rPr>
        <w:t>insumos</w:t>
      </w:r>
      <w:r w:rsidR="003A7F0F">
        <w:rPr>
          <w:rFonts w:ascii="Arial" w:hAnsi="Arial" w:cs="Arial"/>
          <w:sz w:val="20"/>
          <w:szCs w:val="20"/>
          <w:lang w:val="pt-BR"/>
        </w:rPr>
        <w:t xml:space="preserve"> produtivos</w:t>
      </w:r>
      <w:r w:rsidRPr="00EC1D73">
        <w:rPr>
          <w:rFonts w:ascii="Arial" w:hAnsi="Arial" w:cs="Arial"/>
          <w:sz w:val="20"/>
          <w:szCs w:val="20"/>
          <w:lang w:val="pt-BR"/>
        </w:rPr>
        <w:t xml:space="preserve">. </w:t>
      </w:r>
      <w:r w:rsidR="000B1677">
        <w:rPr>
          <w:rFonts w:ascii="Arial" w:hAnsi="Arial" w:cs="Arial"/>
          <w:sz w:val="20"/>
          <w:szCs w:val="20"/>
          <w:lang w:val="pt-BR"/>
        </w:rPr>
        <w:t xml:space="preserve">O sabão, glicerina, ácido graxo, adubo, tintas e o biodiesel, são </w:t>
      </w:r>
      <w:r w:rsidR="000B1677" w:rsidRPr="00EC1D73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>resulta</w:t>
      </w:r>
      <w:r w:rsidR="000B1677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ntes do processamento direto do ORF, enquanto carcaças e ossos, insumos para indústria têxtil, tabaco, álcool e farelo </w:t>
      </w:r>
      <w:r w:rsidR="000B1677" w:rsidRPr="00EC1D73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que integram a cadeia, mas não são produzidos </w:t>
      </w:r>
      <w:r w:rsidR="000B1677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diretamente a partir de ORF. </w:t>
      </w:r>
      <w:r w:rsidR="000B1677" w:rsidRPr="00EC1D73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 </w:t>
      </w:r>
      <w:r w:rsidR="000B1677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Os insumos para as indústrias farmacêuticas e de higiene e limpeza, são </w:t>
      </w:r>
      <w:r w:rsidR="000B1677" w:rsidRPr="00EC1D73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resultantes do processamento indireto </w:t>
      </w:r>
      <w:r w:rsidR="000B1677">
        <w:rPr>
          <w:rFonts w:ascii="Arial" w:eastAsia="Times New Roman" w:hAnsi="Arial" w:cs="Arial"/>
          <w:color w:val="201F1E"/>
          <w:sz w:val="20"/>
          <w:szCs w:val="20"/>
          <w:lang w:val="pt-BR" w:eastAsia="pt-BR"/>
        </w:rPr>
        <w:t xml:space="preserve">do ORF. </w:t>
      </w:r>
    </w:p>
    <w:p w14:paraId="6CA1CF1F" w14:textId="77777777" w:rsidR="000B1677" w:rsidRDefault="000B1677" w:rsidP="000B1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77FCDBE" w14:textId="0C644FE1" w:rsidR="00386FE2" w:rsidRDefault="00386FE2" w:rsidP="00386FE2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A1E49" wp14:editId="69C35898">
                <wp:simplePos x="0" y="0"/>
                <wp:positionH relativeFrom="page">
                  <wp:posOffset>19050</wp:posOffset>
                </wp:positionH>
                <wp:positionV relativeFrom="paragraph">
                  <wp:posOffset>1234440</wp:posOffset>
                </wp:positionV>
                <wp:extent cx="1901190" cy="1752600"/>
                <wp:effectExtent l="0" t="0" r="381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19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45BC3" w14:textId="70E391D5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u w:val="single"/>
                                <w:lang w:val="pt-BR" w:eastAsia="pt-BR"/>
                              </w:rPr>
                              <w:t>LEGENDA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:</w:t>
                            </w:r>
                          </w:p>
                          <w:p w14:paraId="655E8D31" w14:textId="77777777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</w:p>
                          <w:p w14:paraId="26214A84" w14:textId="7A3872B8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VERMELHO –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Matéria-prima objeto do estudo – ORF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66347B66" w14:textId="77777777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LARANJA – 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Unidades de processamento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066EE2E8" w14:textId="78AC263E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CINZA ESCURO– 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Coproduto ou subproduto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67039281" w14:textId="77777777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CINZA CLARO– 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Coproduto ou subproduto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0F184FDC" w14:textId="112E8267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BRANCO-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Outros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 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coprodutos ou subproduto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32BC5B1A" w14:textId="159FC3A8" w:rsidR="005311A1" w:rsidRPr="00C4718E" w:rsidRDefault="005311A1" w:rsidP="005311A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AMARELO– 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Setores produtivos beneficiados.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 </w:t>
                            </w:r>
                          </w:p>
                          <w:p w14:paraId="29B3F450" w14:textId="77777777" w:rsidR="005311A1" w:rsidRPr="00C4718E" w:rsidRDefault="005311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A1E4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.5pt;margin-top:97.2pt;width:149.7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" fillcolor="white [3201]" stroked="f" strokeweight=".5pt">
                <v:textbox>
                  <w:txbxContent>
                    <w:p w14:paraId="75645BC3" w14:textId="70E391D5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u w:val="single"/>
                          <w:lang w:val="pt-BR" w:eastAsia="pt-BR"/>
                        </w:rPr>
                        <w:t>LEGENDA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:</w:t>
                      </w:r>
                    </w:p>
                    <w:p w14:paraId="655E8D31" w14:textId="77777777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</w:p>
                    <w:p w14:paraId="26214A84" w14:textId="7A3872B8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VERMELHO –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Matéria-prima objeto do estudo – ORF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66347B66" w14:textId="77777777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LARANJA – 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Unidades de processamento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066EE2E8" w14:textId="78AC263E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CINZA ESCURO– 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Coproduto ou subproduto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67039281" w14:textId="77777777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CINZA CLARO– 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Coproduto ou subproduto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0F184FDC" w14:textId="112E8267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BRANCO-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Outros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 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coprodutos ou subproduto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32BC5B1A" w14:textId="159FC3A8" w:rsidR="005311A1" w:rsidRPr="00C4718E" w:rsidRDefault="005311A1" w:rsidP="005311A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AMARELO– 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Setores produtivos beneficiados.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 </w:t>
                      </w:r>
                    </w:p>
                    <w:p w14:paraId="29B3F450" w14:textId="77777777" w:rsidR="005311A1" w:rsidRPr="00C4718E" w:rsidRDefault="005311A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1767">
        <w:rPr>
          <w:rFonts w:ascii="Arial" w:hAnsi="Arial" w:cs="Arial"/>
          <w:sz w:val="20"/>
          <w:szCs w:val="20"/>
          <w:lang w:val="pt-BR"/>
        </w:rPr>
        <w:t>Figura 1: Modelo desenvolvido de economia circular para a cadeia de do biodiesel a partir de óleo</w:t>
      </w:r>
    </w:p>
    <w:p w14:paraId="3FA86572" w14:textId="3A488D5F" w:rsidR="00386FE2" w:rsidRDefault="00386FE2" w:rsidP="00386FE2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residual de fritura</w:t>
      </w:r>
    </w:p>
    <w:p w14:paraId="35C9774A" w14:textId="0A0B887D" w:rsidR="00DE1767" w:rsidRDefault="00386FE2" w:rsidP="00386FE2">
      <w:pPr>
        <w:spacing w:after="0" w:line="240" w:lineRule="auto"/>
        <w:ind w:firstLine="851"/>
        <w:jc w:val="righ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22ABC1E0" wp14:editId="315C15AE">
            <wp:extent cx="4874295" cy="355282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76" cy="3564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CC5DAB" w14:textId="0AC7E640" w:rsidR="00DE1767" w:rsidRDefault="00DE1767" w:rsidP="005311A1">
      <w:pPr>
        <w:pStyle w:val="PargrafodaLista"/>
        <w:spacing w:after="0" w:line="240" w:lineRule="auto"/>
        <w:ind w:left="0" w:firstLine="851"/>
        <w:jc w:val="right"/>
        <w:rPr>
          <w:rFonts w:ascii="Arial" w:hAnsi="Arial" w:cs="Arial"/>
          <w:sz w:val="20"/>
          <w:szCs w:val="20"/>
          <w:lang w:val="en-US"/>
        </w:rPr>
      </w:pPr>
    </w:p>
    <w:p w14:paraId="1E322CDC" w14:textId="139CAEF6" w:rsidR="00DE1767" w:rsidRDefault="00DE1767" w:rsidP="00DE1767">
      <w:pPr>
        <w:pStyle w:val="PargrafodaLista"/>
        <w:spacing w:line="240" w:lineRule="auto"/>
        <w:ind w:left="0" w:firstLine="851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Fonte: Elaboração própria, 2021.</w:t>
      </w:r>
    </w:p>
    <w:p w14:paraId="05EFAF32" w14:textId="737BE2DF" w:rsidR="00DE1767" w:rsidRDefault="005311A1" w:rsidP="00DE1767">
      <w:pPr>
        <w:spacing w:line="240" w:lineRule="auto"/>
        <w:ind w:firstLine="851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pt-BR"/>
        </w:rPr>
        <w:t>O</w:t>
      </w:r>
      <w:r w:rsidR="00DE1767">
        <w:rPr>
          <w:rFonts w:ascii="Arial" w:hAnsi="Arial" w:cs="Arial"/>
          <w:sz w:val="20"/>
          <w:szCs w:val="20"/>
          <w:lang w:val="pt-BR"/>
        </w:rPr>
        <w:t xml:space="preserve"> modelo desenvolvido retrata a</w:t>
      </w:r>
      <w:r w:rsidR="00DE1767">
        <w:rPr>
          <w:rFonts w:ascii="Arial" w:hAnsi="Arial" w:cs="Arial"/>
          <w:sz w:val="20"/>
          <w:szCs w:val="20"/>
          <w:shd w:val="clear" w:color="auto" w:fill="FFFFFF"/>
        </w:rPr>
        <w:t xml:space="preserve"> proximidade entre as indústrias, por meio da simbiose industrial, facilitando o desenvolvimento de sinergias entre essas indústrias, permitindo assim, uma maior cooperação entre os elos da cadeia produtiva do biodiesel a partir do óleo residual de fritura. Essas i</w:t>
      </w:r>
      <w:r w:rsidR="00DE17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ndústrias trabalham de forma integrativa buscando estratégias para a geração de resíduos e consequentemente para a mitigação da poluição ambiental, pela utilização de um resíduo </w:t>
      </w:r>
      <w:proofErr w:type="gramStart"/>
      <w:r w:rsidR="00DE1767">
        <w:rPr>
          <w:rFonts w:ascii="Arial" w:hAnsi="Arial" w:cs="Arial"/>
          <w:bCs/>
          <w:sz w:val="20"/>
          <w:szCs w:val="20"/>
          <w:shd w:val="clear" w:color="auto" w:fill="FFFFFF"/>
        </w:rPr>
        <w:t>como</w:t>
      </w:r>
      <w:proofErr w:type="gramEnd"/>
      <w:r w:rsidR="00DE1767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insumo, onde o resíduo de uma indústria se transforma em matéria-prima de outra.</w:t>
      </w:r>
    </w:p>
    <w:p w14:paraId="5720B847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3. RESULTADOS E DISCUSSÃO</w:t>
      </w:r>
    </w:p>
    <w:p w14:paraId="1D4A4E97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B5C5AE" w14:textId="77777777" w:rsidR="00DE1767" w:rsidRDefault="00DE1767" w:rsidP="00DE1767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bookmarkStart w:id="1" w:name="_heading=h.4f1mdlm"/>
      <w:bookmarkStart w:id="2" w:name="_heading=h.1v1yuxt"/>
      <w:bookmarkEnd w:id="1"/>
      <w:bookmarkEnd w:id="2"/>
      <w:r>
        <w:rPr>
          <w:rFonts w:ascii="Arial" w:eastAsia="Arial" w:hAnsi="Arial" w:cs="Arial"/>
          <w:sz w:val="20"/>
          <w:szCs w:val="20"/>
        </w:rPr>
        <w:t xml:space="preserve">O uso do óleo residual de fritura pode ter uma importante atuação na produção de biodiesel, representando o aperfeiçoamento de toda cadeia produtiva de biodiesel, visto que, o segmento necessita mobilizar esforços, recursos e conhecimentos na busca pelo desenvolvimento do setor e independência energética. ³ </w:t>
      </w:r>
      <w:bookmarkStart w:id="3" w:name="_heading=h.2u6wntf"/>
      <w:bookmarkEnd w:id="3"/>
    </w:p>
    <w:p w14:paraId="466D8159" w14:textId="77777777" w:rsidR="00DE1767" w:rsidRDefault="00DE1767" w:rsidP="00C83456">
      <w:pPr>
        <w:pStyle w:val="Default"/>
        <w:spacing w:after="24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Em relação ao modelo desenvolvido, o mesmo representa o fortalecimento dos princípios da economia circular no país, quanto ao desenvolvimento de fontes mais limpas de energia, se tornando uma estratégia para aumentar a participação do óleo residual de fritura na matriz energética brasileira, a fim de potencializar a competividade nacional frente ao mercado internacional, criando uma plataforma bioenergética sólida, abrangendo e beneficiando novos mercados (Figura 2).</w:t>
      </w:r>
    </w:p>
    <w:p w14:paraId="7924C49C" w14:textId="320A8D22" w:rsidR="00DE1767" w:rsidRDefault="00DE1767" w:rsidP="00DE1767">
      <w:pPr>
        <w:spacing w:after="0" w:line="240" w:lineRule="auto"/>
        <w:jc w:val="center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val="pt-BR"/>
        </w:rPr>
        <w:t xml:space="preserve">Figura 2: </w:t>
      </w:r>
      <w:r>
        <w:rPr>
          <w:rFonts w:ascii="Arial" w:hAnsi="Arial" w:cs="Arial"/>
          <w:color w:val="201F1E"/>
          <w:sz w:val="20"/>
          <w:szCs w:val="20"/>
          <w:shd w:val="clear" w:color="auto" w:fill="FFFFFF"/>
        </w:rPr>
        <w:t>Fluxo sequencial de integração para economia circular a partir do óleo residual de fritura</w:t>
      </w:r>
    </w:p>
    <w:p w14:paraId="12977E19" w14:textId="52D327F8" w:rsidR="00DE1767" w:rsidRDefault="001D40CC" w:rsidP="001D40CC">
      <w:pPr>
        <w:spacing w:after="0" w:line="240" w:lineRule="auto"/>
        <w:jc w:val="right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FAD5E" wp14:editId="7B87F216">
                <wp:simplePos x="0" y="0"/>
                <wp:positionH relativeFrom="page">
                  <wp:align>left</wp:align>
                </wp:positionH>
                <wp:positionV relativeFrom="paragraph">
                  <wp:posOffset>691515</wp:posOffset>
                </wp:positionV>
                <wp:extent cx="1809750" cy="1971675"/>
                <wp:effectExtent l="0" t="0" r="0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B64D0" w14:textId="77777777" w:rsidR="001D40CC" w:rsidRPr="00C4718E" w:rsidRDefault="001D40CC" w:rsidP="001D40C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u w:val="single"/>
                                <w:lang w:val="pt-BR" w:eastAsia="pt-BR"/>
                              </w:rPr>
                              <w:t>LEGENDA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:</w:t>
                            </w:r>
                          </w:p>
                          <w:p w14:paraId="0C5739EF" w14:textId="77777777" w:rsidR="001D40CC" w:rsidRPr="00C4718E" w:rsidRDefault="001D40CC" w:rsidP="001D40C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</w:p>
                          <w:p w14:paraId="09564C69" w14:textId="77777777" w:rsidR="001D40CC" w:rsidRPr="00C4718E" w:rsidRDefault="001D40CC" w:rsidP="001D40C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VERMELHO –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Matéria-prima objeto do estudo – ORF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4EBE0FAA" w14:textId="22C49186" w:rsidR="001D40CC" w:rsidRPr="00C4718E" w:rsidRDefault="00F22781" w:rsidP="001D40C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COLUNA DE RECICLAGEM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: – </w:t>
                            </w:r>
                            <w:r w:rsidR="00C4718E"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Coproduto </w:t>
                            </w:r>
                            <w:r w:rsidR="00C4718E"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gerado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diretamente pelo</w:t>
                            </w:r>
                            <w:r w:rsidR="00C4718E"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 process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amento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da matéria-prima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6C6BDD73" w14:textId="641156A2" w:rsidR="001D40CC" w:rsidRPr="00C4718E" w:rsidRDefault="00F22781" w:rsidP="001D40C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COLUNAS 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CINZA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CLARO 1 e 2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– 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São as unidades de transformação do ORF em outros insumos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;</w:t>
                            </w:r>
                          </w:p>
                          <w:p w14:paraId="7179124D" w14:textId="076D0B75" w:rsidR="001D40CC" w:rsidRPr="00C4718E" w:rsidRDefault="00F22781" w:rsidP="001D40C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</w:pP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COLUNA DE SERVÇOS- 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Outros</w:t>
                            </w:r>
                            <w:r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 xml:space="preserve"> 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Setores produtivos beneficiados.</w:t>
                            </w:r>
                            <w:r w:rsidR="001D40CC" w:rsidRPr="00C4718E"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sz w:val="16"/>
                                <w:szCs w:val="16"/>
                                <w:lang w:val="pt-BR" w:eastAsia="pt-BR"/>
                              </w:rPr>
                              <w:t> </w:t>
                            </w:r>
                          </w:p>
                          <w:p w14:paraId="4CC00D8B" w14:textId="77777777" w:rsidR="001D40CC" w:rsidRPr="00C4718E" w:rsidRDefault="001D40CC" w:rsidP="001D40CC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AD5E" id="Caixa de Texto 6" o:spid="_x0000_s1027" type="#_x0000_t202" style="position:absolute;left:0;text-align:left;margin-left:0;margin-top:54.45pt;width:142.5pt;height:155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" fillcolor="white [3201]" stroked="f" strokeweight=".5pt">
                <v:textbox>
                  <w:txbxContent>
                    <w:p w14:paraId="09FB64D0" w14:textId="77777777" w:rsidR="001D40CC" w:rsidRPr="00C4718E" w:rsidRDefault="001D40CC" w:rsidP="001D40C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u w:val="single"/>
                          <w:lang w:val="pt-BR" w:eastAsia="pt-BR"/>
                        </w:rPr>
                        <w:t>LEGENDA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:</w:t>
                      </w:r>
                    </w:p>
                    <w:p w14:paraId="0C5739EF" w14:textId="77777777" w:rsidR="001D40CC" w:rsidRPr="00C4718E" w:rsidRDefault="001D40CC" w:rsidP="001D40C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</w:p>
                    <w:p w14:paraId="09564C69" w14:textId="77777777" w:rsidR="001D40CC" w:rsidRPr="00C4718E" w:rsidRDefault="001D40CC" w:rsidP="001D40C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VERMELHO –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Matéria-prima objeto do estudo – ORF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4EBE0FAA" w14:textId="22C49186" w:rsidR="001D40CC" w:rsidRPr="00C4718E" w:rsidRDefault="00F22781" w:rsidP="001D40C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COLUNA DE RECICLAGEM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: – </w:t>
                      </w:r>
                      <w:r w:rsidR="00C4718E"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Coproduto </w:t>
                      </w:r>
                      <w:r w:rsidR="00C4718E"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gerado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diretamente pelo</w:t>
                      </w:r>
                      <w:r w:rsidR="00C4718E"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 process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amento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da matéria-prima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6C6BDD73" w14:textId="641156A2" w:rsidR="001D40CC" w:rsidRPr="00C4718E" w:rsidRDefault="00F22781" w:rsidP="001D40C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COLUNAS 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CINZA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CLARO 1 e 2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– 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São as unidades de transformação do ORF em outros insumos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;</w:t>
                      </w:r>
                    </w:p>
                    <w:p w14:paraId="7179124D" w14:textId="076D0B75" w:rsidR="001D40CC" w:rsidRPr="00C4718E" w:rsidRDefault="00F22781" w:rsidP="001D40CC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</w:pP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COLUNA DE SERVÇOS- 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b/>
                          <w:color w:val="201F1E"/>
                          <w:sz w:val="16"/>
                          <w:szCs w:val="16"/>
                          <w:lang w:val="pt-BR" w:eastAsia="pt-BR"/>
                        </w:rPr>
                        <w:t>Outros</w:t>
                      </w:r>
                      <w:r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 xml:space="preserve"> 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01F1E"/>
                          <w:sz w:val="16"/>
                          <w:szCs w:val="16"/>
                          <w:lang w:val="pt-BR" w:eastAsia="pt-BR"/>
                        </w:rPr>
                        <w:t>Setores produtivos beneficiados.</w:t>
                      </w:r>
                      <w:r w:rsidR="001D40CC" w:rsidRPr="00C4718E">
                        <w:rPr>
                          <w:rFonts w:ascii="Times New Roman" w:eastAsia="Times New Roman" w:hAnsi="Times New Roman" w:cs="Times New Roman"/>
                          <w:color w:val="201F1E"/>
                          <w:sz w:val="16"/>
                          <w:szCs w:val="16"/>
                          <w:lang w:val="pt-BR" w:eastAsia="pt-BR"/>
                        </w:rPr>
                        <w:t> </w:t>
                      </w:r>
                    </w:p>
                    <w:p w14:paraId="4CC00D8B" w14:textId="77777777" w:rsidR="001D40CC" w:rsidRPr="00C4718E" w:rsidRDefault="001D40CC" w:rsidP="001D40CC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201F1E"/>
          <w:sz w:val="20"/>
          <w:szCs w:val="20"/>
          <w:shd w:val="clear" w:color="auto" w:fill="FFFFFF"/>
          <w:lang w:val="pt-BR" w:eastAsia="pt-BR"/>
        </w:rPr>
        <w:drawing>
          <wp:inline distT="0" distB="0" distL="0" distR="0" wp14:anchorId="08182EF0" wp14:editId="20D19BDC">
            <wp:extent cx="4956175" cy="3274761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045" cy="3293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4E70" w14:textId="3BE4C7D6" w:rsidR="00DE1767" w:rsidRDefault="00DE1767" w:rsidP="001D40CC">
      <w:pPr>
        <w:spacing w:after="0" w:line="240" w:lineRule="auto"/>
        <w:jc w:val="right"/>
        <w:rPr>
          <w:rFonts w:ascii="Arial" w:hAnsi="Arial" w:cs="Arial"/>
          <w:color w:val="201F1E"/>
          <w:sz w:val="20"/>
          <w:szCs w:val="20"/>
          <w:shd w:val="clear" w:color="auto" w:fill="FFFFFF"/>
        </w:rPr>
      </w:pPr>
    </w:p>
    <w:p w14:paraId="5746F1DB" w14:textId="24492809" w:rsidR="00DE1767" w:rsidRDefault="00F22781" w:rsidP="00DE1767">
      <w:pPr>
        <w:pStyle w:val="PargrafodaLista"/>
        <w:spacing w:after="0" w:line="240" w:lineRule="auto"/>
        <w:ind w:left="0" w:firstLine="851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="00DE1767">
        <w:rPr>
          <w:rFonts w:ascii="Arial" w:hAnsi="Arial" w:cs="Arial"/>
          <w:sz w:val="20"/>
          <w:szCs w:val="20"/>
          <w:lang w:val="en-US"/>
        </w:rPr>
        <w:t>Fonte: Elaboração própria, 2021.</w:t>
      </w:r>
    </w:p>
    <w:p w14:paraId="57B95039" w14:textId="77777777" w:rsidR="00DE1767" w:rsidRDefault="00DE1767" w:rsidP="00DE1767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7B478999" w14:textId="44C3B93C" w:rsidR="00DE1767" w:rsidRDefault="00DE1767" w:rsidP="00DE176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óleo residual de fritura se encaixa perfeitamente no modelo circular de retorno a cadeia produtiva com valor econômico agregado. A utilização deste resíduo </w:t>
      </w:r>
      <w:proofErr w:type="gramStart"/>
      <w:r>
        <w:rPr>
          <w:rFonts w:ascii="Arial" w:hAnsi="Arial" w:cs="Arial"/>
          <w:sz w:val="20"/>
          <w:szCs w:val="20"/>
        </w:rPr>
        <w:t>como</w:t>
      </w:r>
      <w:proofErr w:type="gramEnd"/>
      <w:r>
        <w:rPr>
          <w:rFonts w:ascii="Arial" w:hAnsi="Arial" w:cs="Arial"/>
          <w:sz w:val="20"/>
          <w:szCs w:val="20"/>
        </w:rPr>
        <w:t xml:space="preserve"> matéria-prima para a produção de biodiesel é um exemplo de economia circular na prática, pois caracteriza o desenvolvimento sustentável através da eliminação de um resíduo extremamente nocivo ao meio ambiente, fornecendo um produto (biodiesel) sustentável através da valorização e utilização de uma matéria residual.</w:t>
      </w:r>
    </w:p>
    <w:p w14:paraId="0276AC32" w14:textId="77777777" w:rsidR="00DE1767" w:rsidRDefault="00DE1767" w:rsidP="00DE176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O modelo desenvolvido demonstra ter um grande potencial, agregando aspectos ligados a geração e reaproveitamento de resíduos dentro da cadeia de produção, podendo ser uma alternativa para analisar toda a cadeia produtiva do biodiesel a partir de material residual numa perspectiva voltada para a sustentabilidade, trazendo benefícios ambientais e econômicos</w:t>
      </w:r>
      <w:r>
        <w:t>.</w:t>
      </w:r>
    </w:p>
    <w:p w14:paraId="1DB8A626" w14:textId="77777777" w:rsidR="00DE1767" w:rsidRDefault="00DE1767" w:rsidP="00DE1767">
      <w:pPr>
        <w:spacing w:after="0" w:line="240" w:lineRule="auto"/>
        <w:ind w:firstLine="851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FCACB2F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4. CONSIDERAÇÕES FINAIS</w:t>
      </w:r>
    </w:p>
    <w:p w14:paraId="31E1B094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3A3FE3D3" w14:textId="6B592CA3" w:rsidR="00DE1767" w:rsidRDefault="00285A5B" w:rsidP="00DE1767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O</w:t>
      </w:r>
      <w:r w:rsidR="00DE176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s resultados obtidos pelo modelo desenvolvido, </w:t>
      </w:r>
      <w:r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mostram</w:t>
      </w:r>
      <w:r w:rsidR="00DE176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que </w:t>
      </w:r>
      <w:r w:rsidR="00DE1767">
        <w:rPr>
          <w:rFonts w:ascii="Arial" w:hAnsi="Arial" w:cs="Arial"/>
          <w:sz w:val="20"/>
          <w:szCs w:val="20"/>
          <w:lang w:val="pt-BR"/>
        </w:rPr>
        <w:t xml:space="preserve">a </w:t>
      </w:r>
      <w:r w:rsidR="00C83456">
        <w:rPr>
          <w:rFonts w:ascii="Arial" w:hAnsi="Arial" w:cs="Arial"/>
          <w:sz w:val="20"/>
          <w:szCs w:val="20"/>
          <w:lang w:val="pt-BR"/>
        </w:rPr>
        <w:t>re</w:t>
      </w:r>
      <w:r w:rsidR="00DE1767">
        <w:rPr>
          <w:rFonts w:ascii="Arial" w:hAnsi="Arial" w:cs="Arial"/>
          <w:sz w:val="20"/>
          <w:szCs w:val="20"/>
          <w:lang w:val="pt-BR"/>
        </w:rPr>
        <w:t xml:space="preserve">utilização do óleo residual de fritura </w:t>
      </w:r>
      <w:r w:rsidR="00C83456">
        <w:rPr>
          <w:rFonts w:ascii="Arial" w:hAnsi="Arial" w:cs="Arial"/>
          <w:sz w:val="20"/>
          <w:szCs w:val="20"/>
          <w:lang w:val="pt-BR"/>
        </w:rPr>
        <w:t xml:space="preserve">para </w:t>
      </w:r>
      <w:r w:rsidR="00DE1767">
        <w:rPr>
          <w:rFonts w:ascii="Arial" w:hAnsi="Arial" w:cs="Arial"/>
          <w:sz w:val="20"/>
          <w:szCs w:val="20"/>
          <w:lang w:val="pt-BR"/>
        </w:rPr>
        <w:t xml:space="preserve">a produção do biodiesel representa </w:t>
      </w:r>
      <w:r w:rsidR="00DE1767">
        <w:rPr>
          <w:rFonts w:ascii="Arial" w:hAnsi="Arial" w:cs="Arial"/>
          <w:sz w:val="20"/>
          <w:szCs w:val="20"/>
        </w:rPr>
        <w:t xml:space="preserve">estar em consonância com os conceitos da economia circular, representando uma contribuição para identificar potenciais sinergias, estimulando uma integração entre os elos da cadeia de biodiesel, associado a novas estratégias para a utilização de um resíduo, ainda pouco explorado por este segmento industrial, </w:t>
      </w:r>
      <w:r>
        <w:rPr>
          <w:rFonts w:ascii="Arial" w:hAnsi="Arial" w:cs="Arial"/>
          <w:sz w:val="20"/>
          <w:szCs w:val="20"/>
        </w:rPr>
        <w:t>beneficiando novos mercados</w:t>
      </w:r>
      <w:r w:rsidR="00C83456">
        <w:rPr>
          <w:rFonts w:ascii="Arial" w:hAnsi="Arial" w:cs="Arial"/>
          <w:sz w:val="20"/>
          <w:szCs w:val="20"/>
        </w:rPr>
        <w:t xml:space="preserve"> através do intercâmbio de matéria-prima</w:t>
      </w:r>
      <w:r w:rsidR="00DE1767">
        <w:rPr>
          <w:rFonts w:ascii="Arial" w:hAnsi="Arial" w:cs="Arial"/>
          <w:sz w:val="20"/>
          <w:szCs w:val="20"/>
        </w:rPr>
        <w:t xml:space="preserve">, usando os recursos de forma simbiótica. </w:t>
      </w:r>
    </w:p>
    <w:p w14:paraId="4013E91F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6E33170" w14:textId="77777777" w:rsidR="00DE1767" w:rsidRPr="001D40CC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1D40CC">
        <w:rPr>
          <w:rFonts w:ascii="Arial" w:hAnsi="Arial" w:cs="Arial"/>
          <w:b/>
          <w:sz w:val="20"/>
          <w:szCs w:val="20"/>
          <w:lang w:val="pt-BR"/>
        </w:rPr>
        <w:t>5. REFERÊNCIAS</w:t>
      </w:r>
    </w:p>
    <w:p w14:paraId="64EC7418" w14:textId="77777777" w:rsidR="00DE1767" w:rsidRDefault="00DE1767" w:rsidP="00DE1767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14F0433" w14:textId="595839C4" w:rsidR="00DE1767" w:rsidRDefault="001D40CC" w:rsidP="00DE176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¹</w:t>
      </w:r>
      <w:r w:rsidR="00DE1767">
        <w:rPr>
          <w:rFonts w:ascii="Arial" w:hAnsi="Arial" w:cs="Arial"/>
          <w:sz w:val="20"/>
          <w:szCs w:val="20"/>
          <w:lang w:val="pt-BR"/>
        </w:rPr>
        <w:t xml:space="preserve"> </w:t>
      </w:r>
      <w:r w:rsidR="00DE176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EMF - Ellen Macarthur Foundation. </w:t>
      </w:r>
      <w:r w:rsidR="00DE1767">
        <w:rPr>
          <w:rFonts w:ascii="Arial" w:eastAsia="Times New Roman" w:hAnsi="Arial" w:cs="Arial"/>
          <w:b/>
          <w:color w:val="000000" w:themeColor="text1"/>
          <w:sz w:val="20"/>
          <w:szCs w:val="20"/>
        </w:rPr>
        <w:t>Towards the circular economy: Opportunities for the consumer goods sector</w:t>
      </w:r>
      <w:r w:rsidR="00DE1767">
        <w:rPr>
          <w:rFonts w:ascii="Arial" w:eastAsia="Times New Roman" w:hAnsi="Arial" w:cs="Arial"/>
          <w:color w:val="000000" w:themeColor="text1"/>
          <w:sz w:val="20"/>
          <w:szCs w:val="20"/>
        </w:rPr>
        <w:t>. Ellen MacArthur Foundation, 2013.</w:t>
      </w:r>
    </w:p>
    <w:p w14:paraId="0F60FD9C" w14:textId="4C6E5E26" w:rsidR="00DE1767" w:rsidRDefault="001D40CC" w:rsidP="00DE17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²</w:t>
      </w:r>
      <w:r w:rsidR="00DE176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E1767">
        <w:rPr>
          <w:rFonts w:ascii="Arial" w:eastAsia="Arial" w:hAnsi="Arial" w:cs="Arial"/>
          <w:color w:val="000000"/>
          <w:sz w:val="20"/>
          <w:szCs w:val="20"/>
        </w:rPr>
        <w:t>COSTA NETO, P. R.; ROSSI, L. F. S</w:t>
      </w:r>
      <w:r w:rsidR="00DE1767">
        <w:rPr>
          <w:rFonts w:ascii="Arial" w:eastAsia="Arial" w:hAnsi="Arial" w:cs="Arial"/>
          <w:b/>
          <w:color w:val="000000"/>
          <w:sz w:val="20"/>
          <w:szCs w:val="20"/>
        </w:rPr>
        <w:t>; Produção de Biocombustível Alternativo ao Óleo Diesel Através da Transesterificação de Óleo de Soja Usado em Frituras</w:t>
      </w:r>
      <w:r w:rsidR="00DE1767">
        <w:rPr>
          <w:rFonts w:ascii="Arial" w:eastAsia="Arial" w:hAnsi="Arial" w:cs="Arial"/>
          <w:color w:val="000000"/>
          <w:sz w:val="20"/>
          <w:szCs w:val="20"/>
        </w:rPr>
        <w:t>. </w:t>
      </w:r>
      <w:r w:rsidR="00DE1767">
        <w:rPr>
          <w:rFonts w:ascii="Arial" w:eastAsia="Arial" w:hAnsi="Arial" w:cs="Arial"/>
          <w:i/>
          <w:color w:val="000000"/>
          <w:sz w:val="20"/>
          <w:szCs w:val="20"/>
        </w:rPr>
        <w:t>In: Revista química nova,</w:t>
      </w:r>
      <w:r w:rsidR="00DE1767">
        <w:rPr>
          <w:rFonts w:ascii="Arial" w:eastAsia="Arial" w:hAnsi="Arial" w:cs="Arial"/>
          <w:color w:val="000000"/>
          <w:sz w:val="20"/>
          <w:szCs w:val="20"/>
        </w:rPr>
        <w:t> 2000.</w:t>
      </w:r>
    </w:p>
    <w:p w14:paraId="507C45C0" w14:textId="60FF2D14" w:rsidR="00EA1D46" w:rsidRPr="00DE1767" w:rsidRDefault="001D40CC" w:rsidP="00E56E89">
      <w:pPr>
        <w:spacing w:line="240" w:lineRule="auto"/>
        <w:jc w:val="both"/>
      </w:pPr>
      <w:r>
        <w:t>³</w:t>
      </w:r>
      <w:r>
        <w:rPr>
          <w:rFonts w:ascii="Arial" w:eastAsia="Arial" w:hAnsi="Arial" w:cs="Arial"/>
          <w:sz w:val="20"/>
          <w:szCs w:val="20"/>
        </w:rPr>
        <w:t xml:space="preserve">RAMOS, L. P. </w:t>
      </w:r>
      <w:r w:rsidRPr="001D40CC">
        <w:rPr>
          <w:rFonts w:ascii="Arial" w:eastAsia="Arial" w:hAnsi="Arial" w:cs="Arial"/>
          <w:i/>
          <w:sz w:val="20"/>
          <w:szCs w:val="20"/>
        </w:rPr>
        <w:t xml:space="preserve">et al., </w:t>
      </w:r>
      <w:r w:rsidRPr="001D40CC">
        <w:rPr>
          <w:rFonts w:ascii="Arial" w:eastAsia="Arial" w:hAnsi="Arial" w:cs="Arial"/>
          <w:b/>
          <w:sz w:val="20"/>
          <w:szCs w:val="20"/>
        </w:rPr>
        <w:t xml:space="preserve">Biodiesel: Matérias-Primas, Tecnologias de Produção e Propriedades Combustíveis. </w:t>
      </w:r>
      <w:r w:rsidRPr="001D40CC">
        <w:rPr>
          <w:rFonts w:ascii="Arial" w:eastAsia="Arial" w:hAnsi="Arial" w:cs="Arial"/>
          <w:sz w:val="20"/>
          <w:szCs w:val="20"/>
        </w:rPr>
        <w:t>Revista Virtual de Química, 2017.</w:t>
      </w:r>
    </w:p>
    <w:sectPr w:rsidR="00EA1D46" w:rsidRPr="00DE1767" w:rsidSect="001E33B6">
      <w:headerReference w:type="default" r:id="rId11"/>
      <w:foot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BCCEC" w14:textId="77777777" w:rsidR="00D10497" w:rsidRDefault="00D10497" w:rsidP="007F30A2">
      <w:pPr>
        <w:spacing w:after="0" w:line="240" w:lineRule="auto"/>
      </w:pPr>
      <w:r>
        <w:separator/>
      </w:r>
    </w:p>
  </w:endnote>
  <w:endnote w:type="continuationSeparator" w:id="0">
    <w:p w14:paraId="576ED167" w14:textId="77777777" w:rsidR="00D10497" w:rsidRDefault="00D10497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7909" w14:textId="77777777" w:rsidR="00D10497" w:rsidRDefault="00D10497" w:rsidP="007F30A2">
      <w:pPr>
        <w:spacing w:after="0" w:line="240" w:lineRule="auto"/>
      </w:pPr>
      <w:r>
        <w:separator/>
      </w:r>
    </w:p>
  </w:footnote>
  <w:footnote w:type="continuationSeparator" w:id="0">
    <w:p w14:paraId="26CAF05F" w14:textId="77777777" w:rsidR="00D10497" w:rsidRDefault="00D10497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BD90" w14:textId="3A65807A" w:rsidR="006665AB" w:rsidRPr="001E33B6" w:rsidRDefault="001E33B6" w:rsidP="001E33B6">
    <w:pPr>
      <w:pStyle w:val="Cabealho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6F3530D5">
          <wp:simplePos x="0" y="0"/>
          <wp:positionH relativeFrom="margin">
            <wp:posOffset>-1082040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673E"/>
    <w:multiLevelType w:val="multilevel"/>
    <w:tmpl w:val="1F72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A2"/>
    <w:rsid w:val="000B1677"/>
    <w:rsid w:val="001D40CC"/>
    <w:rsid w:val="001E33B6"/>
    <w:rsid w:val="002507BA"/>
    <w:rsid w:val="00285A5B"/>
    <w:rsid w:val="00386FE2"/>
    <w:rsid w:val="003A7F0F"/>
    <w:rsid w:val="003F41E3"/>
    <w:rsid w:val="00445B17"/>
    <w:rsid w:val="005311A1"/>
    <w:rsid w:val="005533A7"/>
    <w:rsid w:val="006665AB"/>
    <w:rsid w:val="00686EE4"/>
    <w:rsid w:val="007A25F9"/>
    <w:rsid w:val="007C527E"/>
    <w:rsid w:val="007F30A2"/>
    <w:rsid w:val="00822688"/>
    <w:rsid w:val="00885F54"/>
    <w:rsid w:val="00980C2C"/>
    <w:rsid w:val="009D5C02"/>
    <w:rsid w:val="00C4718E"/>
    <w:rsid w:val="00C83456"/>
    <w:rsid w:val="00CA4AE9"/>
    <w:rsid w:val="00D10497"/>
    <w:rsid w:val="00D37E17"/>
    <w:rsid w:val="00DE1767"/>
    <w:rsid w:val="00E56E89"/>
    <w:rsid w:val="00E66EB1"/>
    <w:rsid w:val="00EA1D46"/>
    <w:rsid w:val="00EC1D73"/>
    <w:rsid w:val="00EF14FE"/>
    <w:rsid w:val="00F22781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  <w:style w:type="paragraph" w:styleId="PargrafodaLista">
    <w:name w:val="List Paragraph"/>
    <w:basedOn w:val="Normal"/>
    <w:uiPriority w:val="34"/>
    <w:qFormat/>
    <w:rsid w:val="00DE1767"/>
    <w:pPr>
      <w:spacing w:after="160" w:line="256" w:lineRule="auto"/>
      <w:ind w:left="720"/>
      <w:contextualSpacing/>
    </w:pPr>
    <w:rPr>
      <w:lang w:val="pt-BR"/>
    </w:rPr>
  </w:style>
  <w:style w:type="paragraph" w:customStyle="1" w:styleId="Default">
    <w:name w:val="Default"/>
    <w:rsid w:val="00DE1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F14FE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C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11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11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11A1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1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1A1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1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guarieiro@fieb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xavier@cetem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1540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Emmanuelle Soares de Carvalho Freitas</cp:lastModifiedBy>
  <cp:revision>3</cp:revision>
  <dcterms:created xsi:type="dcterms:W3CDTF">2021-05-03T22:05:00Z</dcterms:created>
  <dcterms:modified xsi:type="dcterms:W3CDTF">2021-05-03T22:26:00Z</dcterms:modified>
</cp:coreProperties>
</file>