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8FE" w:rsidP="3756F3AA" w:rsidRDefault="006F38FE" w14:paraId="665B0078" w14:textId="77777777" w14:noSpellErr="1">
      <w:pPr>
        <w:pStyle w:val="Corpodetexto"/>
        <w:spacing w:after="0" w:line="360" w:lineRule="atLeast"/>
        <w:rPr>
          <w:rFonts w:ascii="Times New Roman" w:hAnsi="Times New Roman" w:eastAsia="Times New Roman" w:cs="Times New Roman"/>
          <w:b w:val="1"/>
          <w:bCs w:val="1"/>
          <w:sz w:val="28"/>
          <w:szCs w:val="28"/>
        </w:rPr>
      </w:pPr>
    </w:p>
    <w:p w:rsidR="006F38FE" w:rsidP="3756F3AA" w:rsidRDefault="00A06A25" w14:paraId="4C2DEFF5" w14:textId="7149E3C9">
      <w:pPr>
        <w:spacing w:line="360" w:lineRule="atLeast"/>
        <w:jc w:val="center"/>
        <w:rPr>
          <w:rFonts w:ascii="Times New Roman" w:hAnsi="Times New Roman" w:eastAsia="Times New Roman" w:cs="Times New Roman"/>
          <w:b w:val="1"/>
          <w:bCs w:val="1"/>
          <w:sz w:val="28"/>
          <w:szCs w:val="28"/>
        </w:rPr>
      </w:pPr>
      <w:r w:rsidRPr="2D3D3F63" w:rsidR="2055E6F8">
        <w:rPr>
          <w:rFonts w:ascii="Times New Roman" w:hAnsi="Times New Roman" w:eastAsia="Times New Roman" w:cs="Times New Roman"/>
          <w:b w:val="1"/>
          <w:bCs w:val="1"/>
          <w:sz w:val="28"/>
          <w:szCs w:val="28"/>
        </w:rPr>
        <w:t>E</w:t>
      </w:r>
      <w:r w:rsidRPr="2D3D3F63" w:rsidR="4695DF00">
        <w:rPr>
          <w:rFonts w:ascii="Times New Roman" w:hAnsi="Times New Roman" w:eastAsia="Times New Roman" w:cs="Times New Roman"/>
          <w:b w:val="1"/>
          <w:bCs w:val="1"/>
          <w:sz w:val="28"/>
          <w:szCs w:val="28"/>
        </w:rPr>
        <w:t>F</w:t>
      </w:r>
      <w:r w:rsidRPr="2D3D3F63" w:rsidR="2055E6F8">
        <w:rPr>
          <w:rFonts w:ascii="Times New Roman" w:hAnsi="Times New Roman" w:eastAsia="Times New Roman" w:cs="Times New Roman"/>
          <w:b w:val="1"/>
          <w:bCs w:val="1"/>
          <w:sz w:val="28"/>
          <w:szCs w:val="28"/>
        </w:rPr>
        <w:t>EITO</w:t>
      </w:r>
      <w:r w:rsidRPr="2D3D3F63" w:rsidR="2BA478FD">
        <w:rPr>
          <w:rFonts w:ascii="Times New Roman" w:hAnsi="Times New Roman" w:eastAsia="Times New Roman" w:cs="Times New Roman"/>
          <w:b w:val="1"/>
          <w:bCs w:val="1"/>
          <w:sz w:val="28"/>
          <w:szCs w:val="28"/>
        </w:rPr>
        <w:t>S</w:t>
      </w:r>
      <w:r w:rsidRPr="2D3D3F63" w:rsidR="2055E6F8">
        <w:rPr>
          <w:rFonts w:ascii="Times New Roman" w:hAnsi="Times New Roman" w:eastAsia="Times New Roman" w:cs="Times New Roman"/>
          <w:b w:val="1"/>
          <w:bCs w:val="1"/>
          <w:sz w:val="28"/>
          <w:szCs w:val="28"/>
        </w:rPr>
        <w:t xml:space="preserve"> DOS PRÉ E PROBIÓTICOS NOS SINTOMAS DE INTOLERÂNCIA À LACTOSE EM PACIENTES ADULTOS</w:t>
      </w:r>
      <w:r w:rsidRPr="2D3D3F63" w:rsidR="00A06A25">
        <w:rPr>
          <w:rFonts w:ascii="Times New Roman" w:hAnsi="Times New Roman" w:eastAsia="Times New Roman" w:cs="Times New Roman"/>
          <w:b w:val="1"/>
          <w:bCs w:val="1"/>
          <w:sz w:val="28"/>
          <w:szCs w:val="28"/>
        </w:rPr>
        <w:t xml:space="preserve">: UMA REVISÃO INTEGRATIVA </w:t>
      </w:r>
    </w:p>
    <w:p w:rsidR="2D3D3F63" w:rsidP="2D3D3F63" w:rsidRDefault="2D3D3F63" w14:paraId="40EB95A8" w14:textId="4C1D25D5">
      <w:pPr>
        <w:pStyle w:val="Normal"/>
        <w:spacing w:line="360" w:lineRule="atLeast"/>
        <w:jc w:val="center"/>
        <w:rPr>
          <w:rFonts w:ascii="Liberation Serif" w:hAnsi="Liberation Serif" w:eastAsia="Lucida Sans Unicode" w:cs="Mangal"/>
          <w:b w:val="1"/>
          <w:bCs w:val="1"/>
          <w:sz w:val="24"/>
          <w:szCs w:val="24"/>
        </w:rPr>
      </w:pPr>
    </w:p>
    <w:p w:rsidR="4B7B8DB1" w:rsidP="2D3D3F63" w:rsidRDefault="4B7B8DB1" w14:paraId="088F691A" w14:textId="50AD3ADC">
      <w:pPr>
        <w:spacing w:line="360" w:lineRule="atLeast"/>
        <w:jc w:val="right"/>
        <w:rPr>
          <w:rFonts w:ascii="Times New Roman" w:hAnsi="Times New Roman" w:eastAsia="Times New Roman" w:cs="Times New Roman"/>
          <w:b w:val="0"/>
          <w:bCs w:val="0"/>
          <w:i w:val="0"/>
          <w:iCs w:val="0"/>
          <w:noProof w:val="0"/>
          <w:color w:val="000000" w:themeColor="text1" w:themeTint="FF" w:themeShade="FF"/>
          <w:sz w:val="19"/>
          <w:szCs w:val="19"/>
          <w:lang w:val="pt-BR"/>
        </w:rPr>
      </w:pP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lang w:val="pt-BR"/>
        </w:rPr>
        <w:t>MATEUS ALVES DE FREITAS</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vertAlign w:val="superscript"/>
          <w:lang w:val="pt-BR"/>
        </w:rPr>
        <w:t>1</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lang w:val="pt-BR"/>
        </w:rPr>
        <w:t>; GABRIELE APARECIDA FREITAS DOS SANTOS</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vertAlign w:val="superscript"/>
          <w:lang w:val="pt-BR"/>
        </w:rPr>
        <w:t>2</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lang w:val="pt-BR"/>
        </w:rPr>
        <w:t>; MARIA JÚLIA VIEIRA ALVES DE LIMA</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vertAlign w:val="superscript"/>
          <w:lang w:val="pt-BR"/>
        </w:rPr>
        <w:t>3</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lang w:val="pt-BR"/>
        </w:rPr>
        <w:t>; MATHEUS MOURA FREITAS</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vertAlign w:val="superscript"/>
          <w:lang w:val="pt-BR"/>
        </w:rPr>
        <w:t xml:space="preserve">4; </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lang w:val="pt-BR"/>
        </w:rPr>
        <w:t>PAULO GABRIEL DIAS E SILVA</w:t>
      </w:r>
      <w:r w:rsidRPr="2D3D3F63" w:rsidR="4B7B8DB1">
        <w:rPr>
          <w:rFonts w:ascii="Times New Roman" w:hAnsi="Times New Roman" w:eastAsia="Times New Roman" w:cs="Times New Roman"/>
          <w:b w:val="1"/>
          <w:bCs w:val="1"/>
          <w:i w:val="0"/>
          <w:iCs w:val="0"/>
          <w:noProof w:val="0"/>
          <w:color w:val="000000" w:themeColor="text1" w:themeTint="FF" w:themeShade="FF"/>
          <w:sz w:val="24"/>
          <w:szCs w:val="24"/>
          <w:vertAlign w:val="superscript"/>
          <w:lang w:val="pt-BR"/>
        </w:rPr>
        <w:t xml:space="preserve">5 </w:t>
      </w:r>
    </w:p>
    <w:p w:rsidR="4B7B8DB1" w:rsidP="2D3D3F63" w:rsidRDefault="4B7B8DB1" w14:paraId="4503B6A2" w14:textId="1EF9A98F">
      <w:pPr>
        <w:jc w:val="righ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pt-BR"/>
        </w:rPr>
        <w:t>1</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Centro Universitário Maurício de Nassau - </w:t>
      </w:r>
      <w:proofErr w:type="spellStart"/>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Uninassau</w:t>
      </w:r>
      <w:proofErr w:type="spellEnd"/>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hyperlink r:id="R18e25e5d91674de6">
        <w:r w:rsidRPr="2D3D3F63" w:rsidR="4B7B8DB1">
          <w:rPr>
            <w:rStyle w:val="Hyperlink"/>
            <w:rFonts w:ascii="Times New Roman" w:hAnsi="Times New Roman" w:eastAsia="Times New Roman" w:cs="Times New Roman"/>
            <w:b w:val="0"/>
            <w:bCs w:val="0"/>
            <w:i w:val="0"/>
            <w:iCs w:val="0"/>
            <w:strike w:val="0"/>
            <w:dstrike w:val="0"/>
            <w:noProof w:val="0"/>
            <w:sz w:val="24"/>
            <w:szCs w:val="24"/>
            <w:lang w:val="pt-BR"/>
          </w:rPr>
          <w:t>alvesdefreitas6@gmail.com</w:t>
        </w:r>
      </w:hyperlink>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pt-BR"/>
        </w:rPr>
        <w:t>2</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Centro Universitário Maurício de Nassau – </w:t>
      </w:r>
      <w:proofErr w:type="spellStart"/>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Uninassau</w:t>
      </w:r>
      <w:proofErr w:type="spellEnd"/>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hyperlink r:id="R626b7ee9bfa348d2">
        <w:r w:rsidRPr="2D3D3F63" w:rsidR="4B7B8DB1">
          <w:rPr>
            <w:rStyle w:val="Hyperlink"/>
            <w:rFonts w:ascii="Times New Roman" w:hAnsi="Times New Roman" w:eastAsia="Times New Roman" w:cs="Times New Roman"/>
            <w:b w:val="0"/>
            <w:bCs w:val="0"/>
            <w:i w:val="0"/>
            <w:iCs w:val="0"/>
            <w:strike w:val="0"/>
            <w:dstrike w:val="0"/>
            <w:noProof w:val="0"/>
            <w:sz w:val="24"/>
            <w:szCs w:val="24"/>
            <w:lang w:val="pt-BR"/>
          </w:rPr>
          <w:t>gabriele_aparecida@hotmail.com</w:t>
        </w:r>
      </w:hyperlink>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pt-BR"/>
        </w:rPr>
        <w:t>3</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Centro Universitário Maurício de Nassau - </w:t>
      </w:r>
      <w:proofErr w:type="spellStart"/>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Uninassau</w:t>
      </w:r>
      <w:proofErr w:type="spellEnd"/>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hyperlink r:id="Rbdcc1539d9eb4a7a">
        <w:r w:rsidRPr="2D3D3F63" w:rsidR="4B7B8DB1">
          <w:rPr>
            <w:rStyle w:val="Hyperlink"/>
            <w:rFonts w:ascii="Times New Roman" w:hAnsi="Times New Roman" w:eastAsia="Times New Roman" w:cs="Times New Roman"/>
            <w:b w:val="0"/>
            <w:bCs w:val="0"/>
            <w:i w:val="0"/>
            <w:iCs w:val="0"/>
            <w:strike w:val="0"/>
            <w:dstrike w:val="0"/>
            <w:noProof w:val="0"/>
            <w:sz w:val="24"/>
            <w:szCs w:val="24"/>
            <w:lang w:val="pt-BR"/>
          </w:rPr>
          <w:t>mariajulia1990@hotmail.com</w:t>
        </w:r>
      </w:hyperlink>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pt-BR"/>
        </w:rPr>
        <w:t>4</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Centro Universitário Maurício de Nassau - </w:t>
      </w:r>
      <w:proofErr w:type="spellStart"/>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Uninassau</w:t>
      </w:r>
      <w:proofErr w:type="spellEnd"/>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hyperlink r:id="R9c3045b4ac234ebe">
        <w:r w:rsidRPr="2D3D3F63" w:rsidR="4B7B8DB1">
          <w:rPr>
            <w:rStyle w:val="Hyperlink"/>
            <w:rFonts w:ascii="Times New Roman" w:hAnsi="Times New Roman" w:eastAsia="Times New Roman" w:cs="Times New Roman"/>
            <w:b w:val="0"/>
            <w:bCs w:val="0"/>
            <w:i w:val="0"/>
            <w:iCs w:val="0"/>
            <w:strike w:val="0"/>
            <w:dstrike w:val="0"/>
            <w:noProof w:val="0"/>
            <w:sz w:val="24"/>
            <w:szCs w:val="24"/>
            <w:lang w:val="pt-BR"/>
          </w:rPr>
          <w:t>mathmouraf@hotmail.com</w:t>
        </w:r>
      </w:hyperlink>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pt-BR"/>
        </w:rPr>
        <w:t>5</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Centro Universitário Maurício de Nassau - </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Uninassau</w:t>
      </w:r>
      <w:r w:rsidRPr="2D3D3F63" w:rsidR="4B7B8DB1">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w:t>
      </w:r>
      <w:hyperlink r:id="Rb527cd6bf8d0425a">
        <w:r w:rsidRPr="2D3D3F63" w:rsidR="4B7B8DB1">
          <w:rPr>
            <w:rStyle w:val="Hyperlink"/>
            <w:rFonts w:ascii="Times New Roman" w:hAnsi="Times New Roman" w:eastAsia="Times New Roman" w:cs="Times New Roman"/>
            <w:b w:val="0"/>
            <w:bCs w:val="0"/>
            <w:i w:val="0"/>
            <w:iCs w:val="0"/>
            <w:strike w:val="0"/>
            <w:dstrike w:val="0"/>
            <w:noProof w:val="0"/>
            <w:sz w:val="24"/>
            <w:szCs w:val="24"/>
            <w:lang w:val="pt-BR"/>
          </w:rPr>
          <w:t>paulogabrielnutri@gmail.com</w:t>
        </w:r>
      </w:hyperlink>
    </w:p>
    <w:p w:rsidR="006F38FE" w:rsidP="3756F3AA" w:rsidRDefault="006F38FE" w14:paraId="195B6738" w14:textId="77777777" w14:noSpellErr="1">
      <w:pPr>
        <w:pStyle w:val="Corpodetexto"/>
        <w:spacing w:after="0" w:line="360" w:lineRule="atLeast"/>
        <w:jc w:val="center"/>
        <w:rPr>
          <w:rFonts w:ascii="Times New Roman" w:hAnsi="Times New Roman" w:eastAsia="Times New Roman" w:cs="Times New Roman"/>
          <w:b w:val="1"/>
          <w:bCs w:val="1"/>
          <w:sz w:val="28"/>
          <w:szCs w:val="28"/>
        </w:rPr>
      </w:pPr>
    </w:p>
    <w:p w:rsidR="006F38FE" w:rsidP="3756F3AA" w:rsidRDefault="006F38FE" w14:paraId="62938152" w14:textId="77777777" w14:noSpellErr="1">
      <w:pPr>
        <w:pStyle w:val="Corpodetexto"/>
        <w:spacing w:after="0" w:line="360" w:lineRule="atLeast"/>
        <w:jc w:val="right"/>
        <w:rPr>
          <w:rFonts w:ascii="Times New Roman" w:hAnsi="Times New Roman" w:eastAsia="Times New Roman" w:cs="Times New Roman"/>
          <w:b w:val="1"/>
          <w:bCs w:val="1"/>
        </w:rPr>
      </w:pPr>
    </w:p>
    <w:p w:rsidR="006F38FE" w:rsidP="3756F3AA" w:rsidRDefault="00A06A25" w14:paraId="4FD5068C" w14:textId="77777777" w14:noSpellErr="1">
      <w:pPr>
        <w:pStyle w:val="Corpodetexto"/>
        <w:spacing w:after="0" w:line="360" w:lineRule="atLeast"/>
        <w:jc w:val="right"/>
        <w:rPr>
          <w:rFonts w:ascii="Times New Roman" w:hAnsi="Times New Roman" w:eastAsia="Times New Roman" w:cs="Times New Roman"/>
        </w:rPr>
      </w:pPr>
      <w:r w:rsidRPr="3756F3AA" w:rsidR="00A06A25">
        <w:rPr>
          <w:rFonts w:ascii="Times New Roman" w:hAnsi="Times New Roman" w:cs="Times New Roman"/>
          <w:b w:val="1"/>
          <w:bCs w:val="1"/>
        </w:rPr>
        <w:t>Área Temática:</w:t>
      </w:r>
      <w:r w:rsidR="00A06A25">
        <w:rPr>
          <w:rFonts w:ascii="Times New Roman" w:hAnsi="Times New Roman" w:cs="Times New Roman"/>
        </w:rPr>
        <w:t xml:space="preserve"> </w:t>
      </w:r>
      <w:sdt>
        <w:sdtPr>
          <w:id w:val="-616604138"/>
          <w:dropDownList>
            <w:listItem w:displayText="Escolher um item." w:value="Escolher um item."/>
            <w:listItem w:displayText="ALIMENTAÇÃO COLETIVA" w:value="ALIMENTAÇÃO COLETIVA"/>
            <w:listItem w:displayText="ALIMENTOS E NUTRIÇÃO" w:value="ALIMENTOS E NUTRIÇÃO"/>
            <w:listItem w:displayText="SAÚDE COLETIVA" w:value="SAÚDE COLETIVA"/>
            <w:listItem w:displayText="NUTRIÇÃO CLÍNICA" w:value="NUTRIÇÃO CLÍNICA"/>
            <w:listItem w:displayText="NUTRIÇÃO ESPORTIVA" w:value="NUTRIÇÃO ESPORTIVA"/>
          </w:dropDownList>
          <w:placeholder>
            <w:docPart w:val="DefaultPlaceholder_1081868574"/>
          </w:placeholder>
        </w:sdtPr>
        <w:sdtEndPr/>
        <w:sdtContent>
          <w:r w:rsidR="00A06A25">
            <w:rPr/>
            <w:t>NUTRIÇÃO CLÍNICA</w:t>
          </w:r>
        </w:sdtContent>
      </w:sdt>
    </w:p>
    <w:p w:rsidR="006F38FE" w:rsidP="3756F3AA" w:rsidRDefault="006F38FE" w14:paraId="6A6295A5" w14:textId="77777777" w14:noSpellErr="1">
      <w:pPr>
        <w:jc w:val="both"/>
        <w:rPr>
          <w:rFonts w:ascii="Times New Roman" w:hAnsi="Times New Roman" w:eastAsia="Times New Roman" w:cs="Times New Roman"/>
        </w:rPr>
      </w:pPr>
    </w:p>
    <w:p w:rsidR="006F38FE" w:rsidP="2D3D3F63" w:rsidRDefault="006F38FE" w14:paraId="25F39E57" w14:textId="3F9581D2">
      <w:pPr>
        <w:pStyle w:val="Corpodetexto"/>
        <w:spacing w:before="200" w:after="120" w:line="288" w:lineRule="auto"/>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pPr>
      <w:r w:rsidRPr="2D3D3F63" w:rsidR="53FB1218">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RESU</w:t>
      </w:r>
      <w:r w:rsidRPr="2D3D3F63" w:rsidR="2D9B5AFA">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 xml:space="preserve">MO                                                                                                                                    </w:t>
      </w:r>
    </w:p>
    <w:p w:rsidR="006F38FE" w:rsidP="2D3D3F63" w:rsidRDefault="006F38FE" w14:paraId="5C384F60" w14:textId="78D79309">
      <w:pPr>
        <w:spacing w:after="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70359743" w14:textId="1CFA3B67">
      <w:pPr>
        <w:spacing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Introdução:</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a intolerância à lactose é uma condição clínica que é caracterizada pela deficiência de lactase e as pessoas que sofrem dessa condição apresentam sintomas digestivos indesejáveis.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Objetivo:</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o estudo busca analisar e investigar os estudos de intervenções com probióticos e/ou prebióticos na melhora ou não dos sintomas de intolerância à lactose.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Métodos: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trata-se de uma revisão de literatura integrativa. Os artigos foram selecionados por meio de busca na base de dados Pubmed. Foram usados os seguintes descritores em inglês “probiotics”, “prebiotics” e “lactose intolerance”.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Resultados: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foram encontrados quatro ensaios clínicos, com três deles avaliando a administração de probióticos e apenas um deles avaliando o uso de prebióticos.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Conclusão/Considerações finais: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Todos os estudos demonstraram melhoras nos sintomas de intolerância à lactose, mas são necessários a replicação das metodologias utilizadas em cada estudo, com um maior número de indivíduos estudados e com mais tempo de intervenção, a fim de confirmar os resultados.</w:t>
      </w:r>
    </w:p>
    <w:p w:rsidR="006F38FE" w:rsidP="2D3D3F63" w:rsidRDefault="006F38FE" w14:paraId="3555D7D8" w14:textId="3F8E16D5">
      <w:pPr>
        <w:spacing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Palavras-chave:</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Probióticos; Prebióticos; Intolerância à lactose. </w:t>
      </w:r>
    </w:p>
    <w:p w:rsidR="006F38FE" w:rsidP="2D3D3F63" w:rsidRDefault="006F38FE" w14:paraId="0D337407" w14:textId="1E310BCE">
      <w:pPr>
        <w:pStyle w:val="Corpodetexto"/>
        <w:spacing w:before="200" w:after="120" w:line="288" w:lineRule="auto"/>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pPr>
      <w:r w:rsidRPr="2D3D3F63" w:rsidR="53FB1218">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INTRODUÇÃO</w:t>
      </w:r>
      <w:r w:rsidRPr="2D3D3F63" w:rsidR="5FE2EB7A">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 xml:space="preserve">                                                                                                                          </w:t>
      </w:r>
    </w:p>
    <w:p w:rsidR="006F38FE" w:rsidP="2D3D3F63" w:rsidRDefault="006F38FE" w14:paraId="1CDB0261" w14:textId="37704F12">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6A5CEEED" w14:textId="0D4C5545">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A intolerância à lactose é uma condição clínica caracterizada pela deficiência da enzima β-galactosidase (lactase), presente na borda em escova do intestino delgado e responsável pela quebra do dissacarídeo lactose em glicose e galactose (COSTANZO; CANANI, 2018, MALIK; PANUGANTI, 2021). Pessoas com intolerância à lactose manifestam sintomas digestivos – como diarreia, inchaço, dores abdominais, vômitos e flatulências - após o consumo de alimentos que contém lactose, principalmente leites e produtos lácteos (MALIK; PANUGANTI, 2021).</w:t>
      </w:r>
    </w:p>
    <w:p w:rsidR="006F38FE" w:rsidP="2D3D3F63" w:rsidRDefault="006F38FE" w14:paraId="085DB1A8" w14:textId="7201D51E">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A deficiência da lactase pode se dar pelo declínio na atividade enzimática à medida que a idade vai aumentando (deficiência primária de lactase), por lesões na mucosa intestinal decorrente de algumas doenças (deficiência secundária de lactase) e por uma herança autossômica recessiva que causa redução ou ausência da atividade da enzima desde o nascimento (deficiência congênita de lactose) (COSTANZO; CANANI, 2018, MALIK; PANUGANTI, 2021).</w:t>
      </w:r>
    </w:p>
    <w:p w:rsidR="006F38FE" w:rsidP="2D3D3F63" w:rsidRDefault="006F38FE" w14:paraId="6D5FCA62" w14:textId="1CEA869A">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A intolerância à lactose é rara em crianças menores de 5 anos, visto que a deficiência congênita de lactose também é rara, sendo mais prevalente em adolescentes e adultos (COSTANZO; CANANI, 2018, MALIK; PANUGANTI, 2021).  Cerca de 68% da população mundial sofre com a má absorção da lactose (STORHAUG; FOSSE; FADNES, 2017). </w:t>
      </w:r>
    </w:p>
    <w:p w:rsidR="006F38FE" w:rsidP="2D3D3F63" w:rsidRDefault="006F38FE" w14:paraId="04C48168" w14:textId="15523598">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O tratamento mais comum é a redução de laticínios na dieta. Os laticínios são fontes de nutrientes essenciais ao organismo, como o cálcio, e são importantes para a prevenção de várias doenças (SZILAGYI; ISHAYEK, 2018, MALIK; PANUGANTI, 2021). Portanto, são necessários métodos de intervenção alternativos para a intolerância à lactose, impactando e melhorando a qualidade de vida das pessoas que sofrem desta condição.</w:t>
      </w:r>
    </w:p>
    <w:p w:rsidR="006F38FE" w:rsidP="2D3D3F63" w:rsidRDefault="006F38FE" w14:paraId="2C993102" w14:textId="5308F207">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Esta pesquisa tem como objetivo analisar e investigar os estudos de intervenções com probióticos e/ou prebióticos na melhora ou não dos sintomas de intolerância à lactose.</w:t>
      </w:r>
    </w:p>
    <w:p w:rsidR="006F38FE" w:rsidP="2D3D3F63" w:rsidRDefault="006F38FE" w14:paraId="46C71884" w14:textId="78DB5DE2">
      <w:pPr>
        <w:pStyle w:val="Corpodetexto"/>
        <w:spacing w:before="200" w:after="120" w:line="288" w:lineRule="auto"/>
        <w:jc w:val="both"/>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pPr>
      <w:r w:rsidRPr="2D3D3F63" w:rsidR="53FB1218">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METODOLOGIA</w:t>
      </w:r>
      <w:r w:rsidRPr="2D3D3F63" w:rsidR="15E8066F">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 xml:space="preserve">                                                                                                                      </w:t>
      </w:r>
    </w:p>
    <w:p w:rsidR="006F38FE" w:rsidP="2D3D3F63" w:rsidRDefault="006F38FE" w14:paraId="52EE11AB" w14:textId="20031FFA">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69985D04" w14:textId="3B61089C">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Trata-se de uma revisão de literatura integrativa baseada na análise de artigos referentes ao tratamento com probióticos e/ou prebióticos dos sintomas de pacientes com intolerância à lactose. Os artigos foram selecionados por meio de busca na base de dados Pubmed. Após consulta ao Descritores em Ciências da Saúde (DeCS), foram usados os seguintes descritores em inglês “probiotics”, “prebiotics” e “lactose intolerance”. </w:t>
      </w:r>
    </w:p>
    <w:p w:rsidR="006F38FE" w:rsidP="2D3D3F63" w:rsidRDefault="006F38FE" w14:paraId="3AAEA078" w14:textId="3FE6D6AB">
      <w:pPr>
        <w:pStyle w:val="Default"/>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Os critérios de inclusão foram: ensaios clínicos publicados nos últimos 10 anos, disponíveis em português, inglês ou espanhol. Os critérios de exclusão foram: estudos em animais, estudos in vitro e ensaios clínicos em indivíduos menores de 18 anos.</w:t>
      </w:r>
    </w:p>
    <w:p w:rsidR="006F38FE" w:rsidP="2D3D3F63" w:rsidRDefault="006F38FE" w14:paraId="3D287809" w14:textId="02A42F59">
      <w:pPr>
        <w:pStyle w:val="Corpodetexto"/>
        <w:spacing w:before="200" w:after="120" w:line="288" w:lineRule="auto"/>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pPr>
      <w:r w:rsidRPr="2D3D3F63" w:rsidR="53FB1218">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RESULTADOS E DISCUSSÃO</w:t>
      </w:r>
      <w:r w:rsidRPr="2D3D3F63" w:rsidR="3FB1F37B">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 xml:space="preserve">                                                                                               </w:t>
      </w:r>
    </w:p>
    <w:p w:rsidR="006F38FE" w:rsidP="2D3D3F63" w:rsidRDefault="006F38FE" w14:paraId="38626E1F" w14:textId="35D145EA">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49D1921E" w14:textId="070405BA">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Foram encontrados quatro ensaios clínicos em adultos. Apenas um deles utilizou prebiótico como meio de intervenção. Os outros três estudos que utilizaram probióticos diferiram entre si nas escolhas das cepas de bactérias. </w:t>
      </w:r>
    </w:p>
    <w:p w:rsidR="006F38FE" w:rsidP="2D3D3F63" w:rsidRDefault="006F38FE" w14:paraId="33A0C47A" w14:textId="41A463F0">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Savaiano et al. (2013) realizaram um estudo randomizado duplo-cego com a administração de um produto prebiótico contendo mais de 95% de galacto-oligossacarídeos (GOS) em indivíduos intolerantes à lactose. Foram 35 dias de tratamento, com mais 30 dias de acompanhamento com reintrodução de alimentos lácteos na dieta.  A dose inicial do produto administrado foi de 1,5g, aumentando gradualmente a cada 5 dias, até atingir a dosagem final de 15g (7,5g duas vezes ao dia). Completaram o estudo 42 indivíduos no grupo de tratamento com prebiótico e outros 20 no grupo placebo até o dia 36, com a perca de 1 participante entre o dia 36 e o dia 66. </w:t>
      </w:r>
    </w:p>
    <w:p w:rsidR="006F38FE" w:rsidP="2D3D3F63" w:rsidRDefault="006F38FE" w14:paraId="5FE3644D" w14:textId="573535AF">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Nesse estudo, 78% dos indivíduos do grupo prebiótico relataram uma redução de mais de 50% na dor abdominal no dia 36 (imediatamente após a intervenção), em comparação com 28% do grupo placebo. Metade dos pacientes (50%) do grupo prebiótico também relataram não sentir dor abdominal nos dias 36 e 66 (30 dias após a intervenção) do estudo. Além disso, 30% do grupo prebiótico relataram tolerância à lactose no final do estudo, em comparação com apenas 6% do grupo placebo (SAVAIANO et al., 2013).</w:t>
      </w:r>
    </w:p>
    <w:p w:rsidR="006F38FE" w:rsidP="2D3D3F63" w:rsidRDefault="006F38FE" w14:paraId="5BE5DA1D" w14:textId="6E05B2E0">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Em um ensaio clínico cruzado randomizado, duplo-cego, Pakdaman et al. (2016) avaliaram o efeito da cepa DDS-1 de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 acidophilus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em pacientes com intolerância à lactose, com dez bilhões de unidade formadora de colônias (UFC) por dose, 1 vez ao dia, por 4 semanas. Completaram ambos os braços cruzados do ensaio 22 indivíduos. O tamanho total da amostra do grupo de intervenção com probiótico foi 22 indivíduos para todas as medidas e 23 indivíduos apenas para a medida de flatulência. O tamanho total da amostra do grupo placebo foi 24.</w:t>
      </w:r>
    </w:p>
    <w:p w:rsidR="006F38FE" w:rsidP="2D3D3F63" w:rsidRDefault="006F38FE" w14:paraId="7DF86516" w14:textId="2342D06B">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Houveram diminuições significativas no grupo de intervenção em relação ao placebo nas pontuações dos sintomas abdominais para diarreia, cólicas abdominais e pontuação geral dos sintomas, avaliados por um desafio agudo de lactose (PAKDAMAN et al., 2016). </w:t>
      </w:r>
    </w:p>
    <w:p w:rsidR="006F38FE" w:rsidP="2D3D3F63" w:rsidRDefault="006F38FE" w14:paraId="6ED06E6C" w14:textId="7225C971">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Um estudo cruzado duplo-cego randomizado realizado por Vitellio et al. (2019) investigou os efeitos de</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 xml:space="preserve"> Bifidobacterium longum</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BB536 (na dose de quatro bilhões de UFC) e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 rhamnosus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HN001 (um bilhão de UFC) com vitamina B6 (1,4g) em pacientes com doenças gastrointestinais funcionais e com intolerância à lactose. Participaram do estudo completo 23 pacientes. O estudo se caracterizou em três períodos: 30 dias de tratamento (produto probiótico ou placebo) seguido de 15 dias de eliminação e mais 30 dias de tratamento após o cruzamento das intervenções.</w:t>
      </w:r>
    </w:p>
    <w:p w:rsidR="006F38FE" w:rsidP="2D3D3F63" w:rsidRDefault="006F38FE" w14:paraId="74B7D6BE" w14:textId="22F4BD2A">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O tratamento com o produto probiótico causou diminuição significativa do inchaço. Não houve melhoras na permeabilidade intestinal e na dor abdominal. Cerca de 87,5% dos indivíduos que sofriam de constipação melhoraram com o tratamento probiótico, assim como 37,5% dos indivíduos que sofriam com diarreia. O produto probiótico também melhorou a composição da microbiota intestinal (VITELLIO et al., 2019). </w:t>
      </w:r>
    </w:p>
    <w:p w:rsidR="006F38FE" w:rsidP="2D3D3F63" w:rsidRDefault="006F38FE" w14:paraId="62A0C35E" w14:textId="36D2294A">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Masoumi et al. (2021) avaliaram o efeito terapêutico de um iogurte probiótico fortificado com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 acidophilus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e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 xml:space="preserve">Bifidobacterium sp </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em indivíduos intolerantes à lactose, através de um ensaio clínico duplo-cego randomizado. Foram incluídos 28 participantes no grupo controle (com administração de um iogurte não probiótico de 100 ml) e outros 27 participaram do grupo experimental (com administração do iogurte fortificado com probióticos de 100 ml). Os iogurtes foram administrados 3 vezes por dia, em cada grupo, por uma semana. </w:t>
      </w:r>
    </w:p>
    <w:p w:rsidR="006F38FE" w:rsidP="2D3D3F63" w:rsidRDefault="006F38FE" w14:paraId="66506E53" w14:textId="29CFBED8">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Houve uma diferença significativa do grupo experimental em relação ao placebo no para inchaço e flatulência após 1, 2 e 3 semanas depois da intervenção (MASOUMI et al., 2021). </w:t>
      </w:r>
    </w:p>
    <w:p w:rsidR="006F38FE" w:rsidP="2D3D3F63" w:rsidRDefault="006F38FE" w14:paraId="07077808" w14:textId="2BC4220C">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Os probióticos são definidos como “microrganismos vivos, que quando administrados em quantidades adequadas, conferem um benefício à saúde do hospedeiro” (HILL et al., 2014, p. 507, grifo do autor). Os gêneros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e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bifidobacterium</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foram os únicos gêneros de bactéria utilizados nos estudos aqui revisados, diferindo entre si em quantidade de cepas e/ou tipos de espécies das bactérias probióticas. </w:t>
      </w:r>
    </w:p>
    <w:p w:rsidR="006F38FE" w:rsidP="2D3D3F63" w:rsidRDefault="006F38FE" w14:paraId="1E73A097" w14:textId="4698EC0C">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As bactérias dos gêneros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e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bifidobacterium</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expressam atividade B-galactosidase, ou seja, são capazes de digerir a lactose (FORSGÅRD, 2019), podendo ser um dos mecanismos responsáveis pela melhora dos sintomas de intolerância à lactose nos indivíduos participantes dos ensaios clínicos presentes nesta revisão, suprimindo a deficiência de lactase nessas pessoas. </w:t>
      </w:r>
    </w:p>
    <w:p w:rsidR="006F38FE" w:rsidP="2D3D3F63" w:rsidRDefault="006F38FE" w14:paraId="4BAF1D96" w14:textId="7D974C7B">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Prebióticos são substratos não acessíveis capazes de nutrir microrganismos benéficos residentes no hospedeiro, sendo o GOS um dos prebióticos mais estudados (GIBSON et al., 2017). </w:t>
      </w:r>
    </w:p>
    <w:p w:rsidR="006F38FE" w:rsidP="2D3D3F63" w:rsidRDefault="006F38FE" w14:paraId="73650E62" w14:textId="1A5ACCEA">
      <w:pPr>
        <w:pStyle w:val="Default"/>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Peril et al. (2017) investigaram alterações no microbioma fecal em amostras de fezes coletadas dos indivíduos participantes daquele ensaio clínico de Savaiano et al. (2013), onde verificaram um aumento na abundância relativa de bactérias que metabolizam a lactose nos pacientes que consumiram o produto prebiótico contendo GOS, correlacionando essa mudança na melhora dos sintomas de intolerância à lactose. </w:t>
      </w:r>
    </w:p>
    <w:p w:rsidR="006F38FE" w:rsidP="2D3D3F63" w:rsidRDefault="006F38FE" w14:paraId="5235ADB5" w14:textId="0CF7ABFA">
      <w:pPr>
        <w:pStyle w:val="Corpodetexto"/>
        <w:spacing w:before="200" w:after="120" w:line="288" w:lineRule="auto"/>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pPr>
      <w:r w:rsidRPr="2D3D3F63" w:rsidR="53FB1218">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CONSIDERAÇÕES FINAIS/CONCLUSÃO</w:t>
      </w:r>
      <w:r w:rsidRPr="2D3D3F63" w:rsidR="1005A22D">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 xml:space="preserve">                                                                         </w:t>
      </w:r>
    </w:p>
    <w:p w:rsidR="006F38FE" w:rsidP="2D3D3F63" w:rsidRDefault="006F38FE" w14:paraId="4A3A64D1" w14:textId="27136BD2">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15588FD5" w14:textId="489AC156">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A revisão integrativa realizada, obedeceu aos critérios de inclusão e exclusão delineadas. Devido ao pequeno número de estudos analisados aqui e suas metodologias heterogêneas, não se pode concluir que os probióticos e/ou prebióticos são intervenções eficazes na melhora dos sintomas de intolerância à lactose em adultos. </w:t>
      </w:r>
    </w:p>
    <w:p w:rsidR="006F38FE" w:rsidP="2D3D3F63" w:rsidRDefault="006F38FE" w14:paraId="6F7138AC" w14:textId="5127F549">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Os ensaios clínicos com probióticos demonstraram melhoras em alguns dos sintomas de intolerância à lactose. São necessários mais estudos replicando a mesma cepa ou mistura de cepas já estudadas, além de intervenções em longo prazo, a fim de confirmar os resultados e avaliar sua reprodutibilidade.</w:t>
      </w:r>
    </w:p>
    <w:p w:rsidR="006F38FE" w:rsidP="2D3D3F63" w:rsidRDefault="006F38FE" w14:paraId="1CEBF6DB" w14:textId="67CCAF9D">
      <w:pPr>
        <w:spacing w:after="0" w:line="360" w:lineRule="auto"/>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O único ensaio clínico com prebióticos analisado nesta revisão também demonstrou pontos positivos na melhora dos sintomas de intolerância à lactose, necessitando, portanto, de uma replicabilidade de ensaios clínicos utilizando o mesmo produto probiótico a fim de confirmar os efeitos.</w:t>
      </w:r>
    </w:p>
    <w:p w:rsidR="006F38FE" w:rsidP="2D3D3F63" w:rsidRDefault="006F38FE" w14:paraId="535BB033" w14:textId="30DB18AF">
      <w:pPr>
        <w:pStyle w:val="Corpodetexto"/>
        <w:spacing w:before="200" w:after="120" w:line="288" w:lineRule="auto"/>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pPr>
      <w:r w:rsidRPr="2D3D3F63" w:rsidR="53FB1218">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REFERÊNCIAS</w:t>
      </w:r>
      <w:r w:rsidRPr="2D3D3F63" w:rsidR="151838C1">
        <w:rPr>
          <w:rFonts w:ascii="Times New Roman" w:hAnsi="Times New Roman" w:eastAsia="Times New Roman" w:cs="Times New Roman"/>
          <w:b w:val="1"/>
          <w:bCs w:val="1"/>
          <w:i w:val="0"/>
          <w:iCs w:val="0"/>
          <w:noProof w:val="0"/>
          <w:color w:val="FFFFFF" w:themeColor="background1" w:themeTint="FF" w:themeShade="FF"/>
          <w:sz w:val="24"/>
          <w:szCs w:val="24"/>
          <w:highlight w:val="black"/>
          <w:lang w:val="pt-BR"/>
        </w:rPr>
        <w:t xml:space="preserve">                                                                                                                         </w:t>
      </w:r>
    </w:p>
    <w:p w:rsidR="006F38FE" w:rsidP="2D3D3F63" w:rsidRDefault="006F38FE" w14:paraId="44443A7C" w14:textId="7B8AD8A6">
      <w:pPr>
        <w:spacing w:after="0" w:line="360" w:lineRule="auto"/>
        <w:jc w:val="left"/>
        <w:rPr>
          <w:rFonts w:ascii="Times New Roman" w:hAnsi="Times New Roman" w:eastAsia="Times New Roman" w:cs="Times New Roman"/>
          <w:b w:val="0"/>
          <w:bCs w:val="0"/>
          <w:i w:val="0"/>
          <w:iCs w:val="0"/>
          <w:noProof w:val="0"/>
          <w:color w:val="212121"/>
          <w:sz w:val="24"/>
          <w:szCs w:val="24"/>
          <w:lang w:val="pt-BR"/>
        </w:rPr>
      </w:pPr>
    </w:p>
    <w:p w:rsidR="006F38FE" w:rsidP="2D3D3F63" w:rsidRDefault="006F38FE" w14:paraId="6583D00B" w14:textId="3E3C0E9A">
      <w:pPr>
        <w:spacing w:after="0" w:line="240" w:lineRule="auto"/>
        <w:jc w:val="left"/>
        <w:rPr>
          <w:rFonts w:ascii="Times New Roman" w:hAnsi="Times New Roman" w:eastAsia="Times New Roman" w:cs="Times New Roman"/>
          <w:b w:val="0"/>
          <w:bCs w:val="0"/>
          <w:i w:val="0"/>
          <w:iCs w:val="0"/>
          <w:noProof w:val="0"/>
          <w:color w:val="212121"/>
          <w:sz w:val="24"/>
          <w:szCs w:val="24"/>
          <w:lang w:val="pt-BR"/>
        </w:rPr>
      </w:pPr>
      <w:r w:rsidRPr="2D3D3F63" w:rsidR="53FB1218">
        <w:rPr>
          <w:rFonts w:ascii="Times New Roman" w:hAnsi="Times New Roman" w:eastAsia="Times New Roman" w:cs="Times New Roman"/>
          <w:b w:val="0"/>
          <w:bCs w:val="0"/>
          <w:i w:val="0"/>
          <w:iCs w:val="0"/>
          <w:noProof w:val="0"/>
          <w:color w:val="212121"/>
          <w:sz w:val="24"/>
          <w:szCs w:val="24"/>
          <w:lang w:val="pt-BR"/>
        </w:rPr>
        <w:t xml:space="preserve">AZCARATE-PERIL, M. A. et al. Impact of short-chain galactooligosaccharides on the gut microbiome of lactose-intolerant individuals. </w:t>
      </w:r>
      <w:r w:rsidRPr="2D3D3F63" w:rsidR="53FB1218">
        <w:rPr>
          <w:rFonts w:ascii="Times New Roman" w:hAnsi="Times New Roman" w:eastAsia="Times New Roman" w:cs="Times New Roman"/>
          <w:b w:val="1"/>
          <w:bCs w:val="1"/>
          <w:i w:val="0"/>
          <w:iCs w:val="0"/>
          <w:noProof w:val="0"/>
          <w:color w:val="212121"/>
          <w:sz w:val="24"/>
          <w:szCs w:val="24"/>
          <w:lang w:val="pt-BR"/>
        </w:rPr>
        <w:t>Proceedings of the National Academy of Sciences of the United States of America</w:t>
      </w:r>
      <w:r w:rsidRPr="2D3D3F63" w:rsidR="53FB1218">
        <w:rPr>
          <w:rFonts w:ascii="Times New Roman" w:hAnsi="Times New Roman" w:eastAsia="Times New Roman" w:cs="Times New Roman"/>
          <w:b w:val="0"/>
          <w:bCs w:val="0"/>
          <w:i w:val="0"/>
          <w:iCs w:val="0"/>
          <w:noProof w:val="0"/>
          <w:color w:val="212121"/>
          <w:sz w:val="24"/>
          <w:szCs w:val="24"/>
          <w:lang w:val="pt-BR"/>
        </w:rPr>
        <w:t xml:space="preserve">, v. </w:t>
      </w:r>
      <w:r w:rsidRPr="2D3D3F63" w:rsidR="53FB1218">
        <w:rPr>
          <w:rFonts w:ascii="Times New Roman" w:hAnsi="Times New Roman" w:eastAsia="Times New Roman" w:cs="Times New Roman"/>
          <w:b w:val="0"/>
          <w:bCs w:val="0"/>
          <w:i w:val="1"/>
          <w:iCs w:val="1"/>
          <w:noProof w:val="0"/>
          <w:color w:val="212121"/>
          <w:sz w:val="24"/>
          <w:szCs w:val="24"/>
          <w:lang w:val="pt-BR"/>
        </w:rPr>
        <w:t xml:space="preserve">114, n. </w:t>
      </w:r>
      <w:r w:rsidRPr="2D3D3F63" w:rsidR="53FB1218">
        <w:rPr>
          <w:rFonts w:ascii="Times New Roman" w:hAnsi="Times New Roman" w:eastAsia="Times New Roman" w:cs="Times New Roman"/>
          <w:b w:val="0"/>
          <w:bCs w:val="0"/>
          <w:i w:val="0"/>
          <w:iCs w:val="0"/>
          <w:noProof w:val="0"/>
          <w:color w:val="212121"/>
          <w:sz w:val="24"/>
          <w:szCs w:val="24"/>
          <w:lang w:val="pt-BR"/>
        </w:rPr>
        <w:t xml:space="preserve">3, E. 367–375, Jan 2017. </w:t>
      </w:r>
    </w:p>
    <w:p w:rsidR="006F38FE" w:rsidP="2D3D3F63" w:rsidRDefault="006F38FE" w14:paraId="4070E0F0" w14:textId="7B62EE82">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1C5C5A10" w14:textId="6DBCBB99">
      <w:pPr>
        <w:spacing w:after="0" w:line="240" w:lineRule="auto"/>
        <w:jc w:val="left"/>
        <w:rPr>
          <w:rFonts w:ascii="Times New Roman" w:hAnsi="Times New Roman" w:eastAsia="Times New Roman" w:cs="Times New Roman"/>
          <w:b w:val="0"/>
          <w:bCs w:val="0"/>
          <w:i w:val="0"/>
          <w:iCs w:val="0"/>
          <w:noProof w:val="0"/>
          <w:color w:val="212121"/>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FORSGÅRD</w:t>
      </w:r>
      <w:r w:rsidRPr="2D3D3F63" w:rsidR="53FB1218">
        <w:rPr>
          <w:rFonts w:ascii="Times New Roman" w:hAnsi="Times New Roman" w:eastAsia="Times New Roman" w:cs="Times New Roman"/>
          <w:b w:val="0"/>
          <w:bCs w:val="0"/>
          <w:i w:val="0"/>
          <w:iCs w:val="0"/>
          <w:noProof w:val="0"/>
          <w:color w:val="212121"/>
          <w:sz w:val="24"/>
          <w:szCs w:val="24"/>
          <w:lang w:val="pt-BR"/>
        </w:rPr>
        <w:t xml:space="preserve">, Richard A. Lactose digestion in humans: intestinal lactase appears to be constitutive whereas the colonic microbiome is adaptable. </w:t>
      </w:r>
      <w:r w:rsidRPr="2D3D3F63" w:rsidR="53FB1218">
        <w:rPr>
          <w:rFonts w:ascii="Times New Roman" w:hAnsi="Times New Roman" w:eastAsia="Times New Roman" w:cs="Times New Roman"/>
          <w:b w:val="1"/>
          <w:bCs w:val="1"/>
          <w:i w:val="0"/>
          <w:iCs w:val="0"/>
          <w:noProof w:val="0"/>
          <w:color w:val="212121"/>
          <w:sz w:val="24"/>
          <w:szCs w:val="24"/>
          <w:lang w:val="pt-BR"/>
        </w:rPr>
        <w:t>The American journal of clinical nutrition,</w:t>
      </w:r>
      <w:r w:rsidRPr="2D3D3F63" w:rsidR="53FB1218">
        <w:rPr>
          <w:rFonts w:ascii="Times New Roman" w:hAnsi="Times New Roman" w:eastAsia="Times New Roman" w:cs="Times New Roman"/>
          <w:b w:val="0"/>
          <w:bCs w:val="0"/>
          <w:i w:val="0"/>
          <w:iCs w:val="0"/>
          <w:noProof w:val="0"/>
          <w:color w:val="212121"/>
          <w:sz w:val="24"/>
          <w:szCs w:val="24"/>
          <w:lang w:val="pt-BR"/>
        </w:rPr>
        <w:t xml:space="preserve"> v. 110, n. 2, p. 273-279, Ago 2019.</w:t>
      </w:r>
    </w:p>
    <w:p w:rsidR="006F38FE" w:rsidP="2D3D3F63" w:rsidRDefault="006F38FE" w14:paraId="40BE4A89" w14:textId="7AA5BE20">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4545500C" w14:textId="539D9938">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GIBSON, Glenn R. et al. Expert consensus document: The International Scientific Association for Probiotics and Prebiotics (ISAPP) consensus statement on the definition and scope of prebiotics.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Nature Reviews Gastroenterology &amp; Hepatology,</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v. 14, n. 8, p. 491–502, Ago 2017.</w:t>
      </w:r>
    </w:p>
    <w:p w:rsidR="006F38FE" w:rsidP="2D3D3F63" w:rsidRDefault="006F38FE" w14:paraId="3631E735" w14:textId="1958A0D5">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0BA5BEE6" w14:textId="1C247352">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HILL, Colin et al. The International Scientific Association for Probiotics and Prebiotics consensus statement on the scope and appropriate use of the term probiotic.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Nature Reviews Gastroenterology &amp; Hepatology,</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vol. 11, n. 8, p. 506-514, Jun 2014.</w:t>
      </w:r>
    </w:p>
    <w:p w:rsidR="006F38FE" w:rsidP="2D3D3F63" w:rsidRDefault="006F38FE" w14:paraId="62A6CCE0" w14:textId="35FC8284">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2DED46CB" w14:textId="1CE6658A">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MASOUMI, Seyed Jalil et al. The effect of yogurt fortified with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 acidophilus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and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Bifidobacterium sp</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probiotic in patients with lactose intolerance.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 xml:space="preserve">Food science &amp; nutrition, </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vol. 9, n.3, p. 1704-1711, Jan 2021.</w:t>
      </w:r>
    </w:p>
    <w:p w:rsidR="006F38FE" w:rsidP="2D3D3F63" w:rsidRDefault="006F38FE" w14:paraId="4D025944" w14:textId="0773A99F">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610F6D26" w14:textId="10898CE0">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PAKDAMAN, Michael N. et al. The effects of the DDS-1 strain of lactobacillus on symptomatic relief for lactose intolerance - a randomized, double-blind, placebo-controlled, crossover clinical trial.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 xml:space="preserve">Nutrition journal, </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vol. 15, n. 56, Mai 2016. </w:t>
      </w:r>
    </w:p>
    <w:p w:rsidR="006F38FE" w:rsidP="2D3D3F63" w:rsidRDefault="006F38FE" w14:paraId="58DE53AE" w14:textId="50B58F43">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6712343D" w14:textId="2351848E">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SAVAIANO, Dennis A. et al. Improving lactose digestion and symptoms of lactose intolerance with a novel galacto-oligosaccharide (RP-G28): a randomized, double-blind clinical trial.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Nutrition journal,</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vol. 12, n. 160, Dez 2013.</w:t>
      </w:r>
    </w:p>
    <w:p w:rsidR="006F38FE" w:rsidP="2D3D3F63" w:rsidRDefault="006F38FE" w14:paraId="2CB517D5" w14:textId="5FA2185F">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p>
    <w:p w:rsidR="006F38FE" w:rsidP="2D3D3F63" w:rsidRDefault="006F38FE" w14:paraId="6AA1480E" w14:textId="140D25C0">
      <w:pPr>
        <w:spacing w:after="0" w:line="24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pt-BR"/>
        </w:rPr>
      </w:pP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VITELLIO, Paola et al. Effects of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Bifidobacterium longum</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and </w:t>
      </w:r>
      <w:r w:rsidRPr="2D3D3F63" w:rsidR="53FB1218">
        <w:rPr>
          <w:rFonts w:ascii="Times New Roman" w:hAnsi="Times New Roman" w:eastAsia="Times New Roman" w:cs="Times New Roman"/>
          <w:b w:val="0"/>
          <w:bCs w:val="0"/>
          <w:i w:val="1"/>
          <w:iCs w:val="1"/>
          <w:noProof w:val="0"/>
          <w:color w:val="000000" w:themeColor="text1" w:themeTint="FF" w:themeShade="FF"/>
          <w:sz w:val="24"/>
          <w:szCs w:val="24"/>
          <w:lang w:val="pt-BR"/>
        </w:rPr>
        <w:t>Lactobacillus rhamnosus</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 xml:space="preserve"> on Gut Microbiota in Patients with Lactose Intolerance and Persisting Functional Gastrointestinal Symptoms: A Randomised, Double-Blind, Cross-Over Study. </w:t>
      </w:r>
      <w:r w:rsidRPr="2D3D3F63" w:rsidR="53FB1218">
        <w:rPr>
          <w:rFonts w:ascii="Times New Roman" w:hAnsi="Times New Roman" w:eastAsia="Times New Roman" w:cs="Times New Roman"/>
          <w:b w:val="1"/>
          <w:bCs w:val="1"/>
          <w:i w:val="0"/>
          <w:iCs w:val="0"/>
          <w:noProof w:val="0"/>
          <w:color w:val="000000" w:themeColor="text1" w:themeTint="FF" w:themeShade="FF"/>
          <w:sz w:val="24"/>
          <w:szCs w:val="24"/>
          <w:lang w:val="pt-BR"/>
        </w:rPr>
        <w:t xml:space="preserve">Nutrients. </w:t>
      </w:r>
      <w:r w:rsidRPr="2D3D3F63" w:rsidR="53FB1218">
        <w:rPr>
          <w:rFonts w:ascii="Times New Roman" w:hAnsi="Times New Roman" w:eastAsia="Times New Roman" w:cs="Times New Roman"/>
          <w:b w:val="0"/>
          <w:bCs w:val="0"/>
          <w:i w:val="0"/>
          <w:iCs w:val="0"/>
          <w:noProof w:val="0"/>
          <w:color w:val="000000" w:themeColor="text1" w:themeTint="FF" w:themeShade="FF"/>
          <w:sz w:val="24"/>
          <w:szCs w:val="24"/>
          <w:lang w:val="pt-BR"/>
        </w:rPr>
        <w:t>vol. 11, n. 4, Abr 2019.</w:t>
      </w:r>
    </w:p>
    <w:p w:rsidR="006F38FE" w:rsidP="2D3D3F63" w:rsidRDefault="006F38FE" w14:paraId="6313C6C3" w14:textId="5415CC7A">
      <w:pPr>
        <w:pStyle w:val="Normal"/>
        <w:jc w:val="both"/>
        <w:rPr>
          <w:rFonts w:ascii="Liberation Serif" w:hAnsi="Liberation Serif" w:eastAsia="Lucida Sans Unicode" w:cs="Mangal"/>
          <w:b w:val="1"/>
          <w:bCs w:val="1"/>
          <w:sz w:val="24"/>
          <w:szCs w:val="24"/>
        </w:rPr>
      </w:pPr>
    </w:p>
    <w:p w:rsidR="3756F3AA" w:rsidP="3756F3AA" w:rsidRDefault="3756F3AA" w14:paraId="2EEF547F" w14:textId="57601856">
      <w:pPr>
        <w:pStyle w:val="Normal"/>
        <w:bidi w:val="0"/>
        <w:spacing w:before="0" w:beforeAutospacing="off" w:after="0" w:afterAutospacing="off" w:line="360" w:lineRule="auto"/>
        <w:ind w:left="0" w:right="0"/>
        <w:jc w:val="both"/>
        <w:rPr>
          <w:rFonts w:ascii="Liberation Serif" w:hAnsi="Liberation Serif" w:eastAsia="Lucida Sans Unicode" w:cs="Mangal"/>
          <w:b w:val="0"/>
          <w:bCs w:val="0"/>
          <w:i w:val="0"/>
          <w:iCs w:val="0"/>
          <w:noProof w:val="0"/>
          <w:color w:val="212121"/>
          <w:sz w:val="24"/>
          <w:szCs w:val="24"/>
          <w:lang w:val="pt-BR"/>
        </w:rPr>
      </w:pPr>
    </w:p>
    <w:sectPr w:rsidRPr="000253C3" w:rsidR="00D41981">
      <w:headerReference w:type="default" r:id="rId7"/>
      <w:footerReference w:type="default" r:id="rId8"/>
      <w:pgSz w:w="11906" w:h="16838" w:orient="portrait"/>
      <w:pgMar w:top="1701" w:right="1134" w:bottom="1134" w:left="1701" w:header="567" w:footer="9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6A25" w:rsidRDefault="00A06A25" w14:paraId="30AF63BB" w14:textId="77777777">
      <w:r>
        <w:separator/>
      </w:r>
    </w:p>
  </w:endnote>
  <w:endnote w:type="continuationSeparator" w:id="0">
    <w:p w:rsidR="00A06A25" w:rsidRDefault="00A06A25" w14:paraId="1A4E59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F38FE" w:rsidRDefault="00A06A25" w14:paraId="1E51DED4" w14:textId="77777777">
    <w:pPr>
      <w:pStyle w:val="Rodap"/>
    </w:pPr>
    <w:r>
      <w:rPr>
        <w:noProof/>
      </w:rPr>
      <w:drawing>
        <wp:anchor distT="0" distB="0" distL="114300" distR="114300" simplePos="0" relativeHeight="2" behindDoc="1" locked="0" layoutInCell="1" allowOverlap="1" wp14:anchorId="3C19B276" wp14:editId="40E022D3">
          <wp:simplePos x="0" y="0"/>
          <wp:positionH relativeFrom="margin">
            <wp:align>center</wp:align>
          </wp:positionH>
          <wp:positionV relativeFrom="paragraph">
            <wp:posOffset>635</wp:posOffset>
          </wp:positionV>
          <wp:extent cx="1771650" cy="650240"/>
          <wp:effectExtent l="0" t="0" r="0" b="0"/>
          <wp:wrapSquare wrapText="bothSides"/>
          <wp:docPr id="3" name="Imagem 16" descr="Unifametro | Formar para transfor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6" descr="Unifametro | Formar para transformar"/>
                  <pic:cNvPicPr>
                    <a:picLocks noChangeAspect="1" noChangeArrowheads="1"/>
                  </pic:cNvPicPr>
                </pic:nvPicPr>
                <pic:blipFill>
                  <a:blip r:embed="rId1"/>
                  <a:stretch>
                    <a:fillRect/>
                  </a:stretch>
                </pic:blipFill>
                <pic:spPr bwMode="auto">
                  <a:xfrm>
                    <a:off x="0" y="0"/>
                    <a:ext cx="1771650" cy="650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6A25" w:rsidRDefault="00A06A25" w14:paraId="4E96C094" w14:textId="77777777">
      <w:r>
        <w:separator/>
      </w:r>
    </w:p>
  </w:footnote>
  <w:footnote w:type="continuationSeparator" w:id="0">
    <w:p w:rsidR="00A06A25" w:rsidRDefault="00A06A25" w14:paraId="68CDE4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F38FE" w:rsidRDefault="00A06A25" w14:paraId="038FA75F" w14:textId="77777777">
    <w:pPr>
      <w:pStyle w:val="Cabealho"/>
    </w:pPr>
    <w:r>
      <w:rPr>
        <w:noProof/>
      </w:rPr>
      <w:drawing>
        <wp:anchor distT="0" distB="0" distL="0" distR="0" simplePos="0" relativeHeight="3" behindDoc="1" locked="0" layoutInCell="1" allowOverlap="1" wp14:anchorId="42141E8B" wp14:editId="18E488F3">
          <wp:simplePos x="0" y="0"/>
          <wp:positionH relativeFrom="column">
            <wp:posOffset>-842010</wp:posOffset>
          </wp:positionH>
          <wp:positionV relativeFrom="paragraph">
            <wp:posOffset>11430</wp:posOffset>
          </wp:positionV>
          <wp:extent cx="1254125" cy="781050"/>
          <wp:effectExtent l="0" t="0" r="0" b="0"/>
          <wp:wrapNone/>
          <wp:docPr id="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4"/>
                  <pic:cNvPicPr>
                    <a:picLocks noChangeAspect="1" noChangeArrowheads="1"/>
                  </pic:cNvPicPr>
                </pic:nvPicPr>
                <pic:blipFill>
                  <a:blip r:embed="rId1"/>
                  <a:srcRect l="16938" t="19331" r="16212" b="21442"/>
                  <a:stretch>
                    <a:fillRect/>
                  </a:stretch>
                </pic:blipFill>
                <pic:spPr bwMode="auto">
                  <a:xfrm>
                    <a:off x="0" y="0"/>
                    <a:ext cx="1254125" cy="781050"/>
                  </a:xfrm>
                  <a:prstGeom prst="rect">
                    <a:avLst/>
                  </a:prstGeom>
                </pic:spPr>
              </pic:pic>
            </a:graphicData>
          </a:graphic>
        </wp:anchor>
      </w:drawing>
    </w:r>
    <w:r>
      <w:rPr>
        <w:noProof/>
      </w:rPr>
      <w:drawing>
        <wp:anchor distT="0" distB="0" distL="0" distR="0" simplePos="0" relativeHeight="4" behindDoc="1" locked="0" layoutInCell="1" allowOverlap="1" wp14:anchorId="12668C93" wp14:editId="032BA305">
          <wp:simplePos x="0" y="0"/>
          <wp:positionH relativeFrom="column">
            <wp:posOffset>4349115</wp:posOffset>
          </wp:positionH>
          <wp:positionV relativeFrom="paragraph">
            <wp:posOffset>11430</wp:posOffset>
          </wp:positionV>
          <wp:extent cx="1857375" cy="68135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2"/>
                  <a:stretch>
                    <a:fillRect/>
                  </a:stretch>
                </pic:blipFill>
                <pic:spPr bwMode="auto">
                  <a:xfrm>
                    <a:off x="0" y="0"/>
                    <a:ext cx="1857375" cy="681355"/>
                  </a:xfrm>
                  <a:prstGeom prst="rect">
                    <a:avLst/>
                  </a:prstGeom>
                </pic:spPr>
              </pic:pic>
            </a:graphicData>
          </a:graphic>
        </wp:anchor>
      </w:drawing>
    </w:r>
  </w:p>
  <w:p w:rsidR="006F38FE" w:rsidRDefault="00A06A25" w14:paraId="391493CC" w14:textId="77777777">
    <w:pPr>
      <w:pStyle w:val="NormalWeb"/>
      <w:tabs>
        <w:tab w:val="right" w:pos="9072"/>
      </w:tabs>
      <w:spacing w:beforeAutospacing="0" w:after="120" w:afterAutospacing="0"/>
      <w:ind w:left="-426" w:right="-1"/>
      <w:jc w:val="center"/>
      <w:textAlignment w:val="baseline"/>
      <w:rPr>
        <w:rFonts w:ascii="Arial" w:hAnsi="Arial" w:cs="Arial"/>
        <w:b/>
        <w:bCs/>
        <w:color w:val="000000"/>
        <w:kern w:val="2"/>
        <w:sz w:val="20"/>
        <w:szCs w:val="40"/>
      </w:rPr>
    </w:pPr>
    <w:r>
      <w:rPr>
        <w:rFonts w:ascii="Arial" w:hAnsi="Arial" w:cs="Arial"/>
        <w:b/>
        <w:bCs/>
        <w:color w:val="000000"/>
        <w:kern w:val="2"/>
        <w:sz w:val="20"/>
        <w:szCs w:val="40"/>
      </w:rPr>
      <w:t>VII JORNADA DE NUTRIÇÃO</w:t>
    </w:r>
  </w:p>
  <w:p w:rsidR="006F38FE" w:rsidRDefault="00A06A25" w14:paraId="6576B9FF" w14:textId="77777777">
    <w:pPr>
      <w:pStyle w:val="NormalWeb"/>
      <w:tabs>
        <w:tab w:val="right" w:pos="9072"/>
      </w:tabs>
      <w:spacing w:beforeAutospacing="0" w:after="120" w:afterAutospacing="0"/>
      <w:ind w:left="-426" w:right="-1"/>
      <w:jc w:val="center"/>
      <w:textAlignment w:val="baseline"/>
    </w:pPr>
    <w:r>
      <w:rPr>
        <w:rFonts w:ascii="Arial" w:hAnsi="Arial" w:cs="Arial"/>
        <w:b/>
        <w:bCs/>
        <w:color w:val="000000"/>
        <w:kern w:val="2"/>
        <w:sz w:val="20"/>
        <w:szCs w:val="40"/>
      </w:rPr>
      <w:t>CURSO DE NUTRIÇÃO UNIFAMETRO</w:t>
    </w:r>
  </w:p>
  <w:p w:rsidR="006F38FE" w:rsidRDefault="006F38FE" w14:paraId="16CA5104" w14:textId="777777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FE"/>
    <w:rsid w:val="000253C3"/>
    <w:rsid w:val="00425D1D"/>
    <w:rsid w:val="004B00E1"/>
    <w:rsid w:val="004BAA01"/>
    <w:rsid w:val="005C94CA"/>
    <w:rsid w:val="00642C1D"/>
    <w:rsid w:val="0065794C"/>
    <w:rsid w:val="006F38FE"/>
    <w:rsid w:val="007FA2FC"/>
    <w:rsid w:val="009819FC"/>
    <w:rsid w:val="009B0279"/>
    <w:rsid w:val="00A06A25"/>
    <w:rsid w:val="00A641D0"/>
    <w:rsid w:val="00BB3BE1"/>
    <w:rsid w:val="00CF69B5"/>
    <w:rsid w:val="00D41981"/>
    <w:rsid w:val="012C9EE4"/>
    <w:rsid w:val="018CA315"/>
    <w:rsid w:val="0190FF8F"/>
    <w:rsid w:val="01A59503"/>
    <w:rsid w:val="01BFAD4E"/>
    <w:rsid w:val="01FAE4DA"/>
    <w:rsid w:val="0259164A"/>
    <w:rsid w:val="025919E5"/>
    <w:rsid w:val="029C42F6"/>
    <w:rsid w:val="029FAC43"/>
    <w:rsid w:val="02C3DBF1"/>
    <w:rsid w:val="02E6BA47"/>
    <w:rsid w:val="03557A4B"/>
    <w:rsid w:val="03B9B72A"/>
    <w:rsid w:val="03BA34E3"/>
    <w:rsid w:val="0420BD44"/>
    <w:rsid w:val="0445813F"/>
    <w:rsid w:val="047331D3"/>
    <w:rsid w:val="04B0A667"/>
    <w:rsid w:val="04B71678"/>
    <w:rsid w:val="04C268A6"/>
    <w:rsid w:val="04E4E8DB"/>
    <w:rsid w:val="04E86E3A"/>
    <w:rsid w:val="0529D8A2"/>
    <w:rsid w:val="057952FA"/>
    <w:rsid w:val="0587F6DB"/>
    <w:rsid w:val="05D4BA57"/>
    <w:rsid w:val="060E5B92"/>
    <w:rsid w:val="0615A310"/>
    <w:rsid w:val="06407F3D"/>
    <w:rsid w:val="070FEC72"/>
    <w:rsid w:val="07857AA9"/>
    <w:rsid w:val="07EEB73A"/>
    <w:rsid w:val="07FACE13"/>
    <w:rsid w:val="07FC1156"/>
    <w:rsid w:val="08344DC9"/>
    <w:rsid w:val="0861F312"/>
    <w:rsid w:val="08D3090B"/>
    <w:rsid w:val="093AAFD5"/>
    <w:rsid w:val="0945FC54"/>
    <w:rsid w:val="09969E74"/>
    <w:rsid w:val="09DEFE9D"/>
    <w:rsid w:val="0A21979B"/>
    <w:rsid w:val="0A3CC9CF"/>
    <w:rsid w:val="0A865092"/>
    <w:rsid w:val="0AA2EC35"/>
    <w:rsid w:val="0B0C5ABE"/>
    <w:rsid w:val="0B37E1D5"/>
    <w:rsid w:val="0B513D74"/>
    <w:rsid w:val="0B516517"/>
    <w:rsid w:val="0B5349EB"/>
    <w:rsid w:val="0C0B237B"/>
    <w:rsid w:val="0C2A32C0"/>
    <w:rsid w:val="0C560624"/>
    <w:rsid w:val="0C93FC91"/>
    <w:rsid w:val="0CB24E67"/>
    <w:rsid w:val="0D169F5F"/>
    <w:rsid w:val="0DAF2127"/>
    <w:rsid w:val="0E00B249"/>
    <w:rsid w:val="0E2E1D1B"/>
    <w:rsid w:val="0E51A48A"/>
    <w:rsid w:val="0E58FC8A"/>
    <w:rsid w:val="0F998609"/>
    <w:rsid w:val="0FE6591B"/>
    <w:rsid w:val="1005A22D"/>
    <w:rsid w:val="102F4FCD"/>
    <w:rsid w:val="105C0FE6"/>
    <w:rsid w:val="10A93C5C"/>
    <w:rsid w:val="10DDC760"/>
    <w:rsid w:val="11B34DB3"/>
    <w:rsid w:val="11CE3F95"/>
    <w:rsid w:val="122FCD17"/>
    <w:rsid w:val="12A7EAC1"/>
    <w:rsid w:val="12D44EB0"/>
    <w:rsid w:val="12E9FACE"/>
    <w:rsid w:val="1366F08F"/>
    <w:rsid w:val="13C9D516"/>
    <w:rsid w:val="13F2D0F2"/>
    <w:rsid w:val="13F35355"/>
    <w:rsid w:val="13F817BE"/>
    <w:rsid w:val="13FB6DA7"/>
    <w:rsid w:val="144FB8ED"/>
    <w:rsid w:val="1457CB95"/>
    <w:rsid w:val="14847532"/>
    <w:rsid w:val="14AF94AC"/>
    <w:rsid w:val="14F6EA64"/>
    <w:rsid w:val="151838C1"/>
    <w:rsid w:val="15932FFB"/>
    <w:rsid w:val="159F48A0"/>
    <w:rsid w:val="15CF1A68"/>
    <w:rsid w:val="15E8066F"/>
    <w:rsid w:val="16B20E65"/>
    <w:rsid w:val="16B295FB"/>
    <w:rsid w:val="1701B53B"/>
    <w:rsid w:val="170BC23D"/>
    <w:rsid w:val="1795B1F5"/>
    <w:rsid w:val="17C03317"/>
    <w:rsid w:val="18071ACD"/>
    <w:rsid w:val="183A027A"/>
    <w:rsid w:val="18855005"/>
    <w:rsid w:val="18A9F877"/>
    <w:rsid w:val="18BF09C3"/>
    <w:rsid w:val="19300DA8"/>
    <w:rsid w:val="1953C54C"/>
    <w:rsid w:val="19687F70"/>
    <w:rsid w:val="19E68E03"/>
    <w:rsid w:val="19F4497F"/>
    <w:rsid w:val="1A9FF253"/>
    <w:rsid w:val="1AA3D82F"/>
    <w:rsid w:val="1AFD6D70"/>
    <w:rsid w:val="1B28152F"/>
    <w:rsid w:val="1B2CAD59"/>
    <w:rsid w:val="1B84A0E4"/>
    <w:rsid w:val="1B8885BE"/>
    <w:rsid w:val="1B9A0E32"/>
    <w:rsid w:val="1BA870DD"/>
    <w:rsid w:val="1BF033EE"/>
    <w:rsid w:val="1C4E3D68"/>
    <w:rsid w:val="1C5EFC98"/>
    <w:rsid w:val="1C6AA11B"/>
    <w:rsid w:val="1C8D28AB"/>
    <w:rsid w:val="1CBF23CA"/>
    <w:rsid w:val="1D1255A0"/>
    <w:rsid w:val="1D3154A4"/>
    <w:rsid w:val="1DE0A80D"/>
    <w:rsid w:val="1E5EBD69"/>
    <w:rsid w:val="1E746B8A"/>
    <w:rsid w:val="1EA8FBFD"/>
    <w:rsid w:val="1EC768EF"/>
    <w:rsid w:val="1EDBD126"/>
    <w:rsid w:val="1EF80517"/>
    <w:rsid w:val="1F0876B2"/>
    <w:rsid w:val="1FCA2642"/>
    <w:rsid w:val="1FE190F2"/>
    <w:rsid w:val="2045145F"/>
    <w:rsid w:val="2055E6F8"/>
    <w:rsid w:val="209AFC77"/>
    <w:rsid w:val="20C512ED"/>
    <w:rsid w:val="20D88DF2"/>
    <w:rsid w:val="20FDFEFE"/>
    <w:rsid w:val="2121A80D"/>
    <w:rsid w:val="21CB87A8"/>
    <w:rsid w:val="21D7D829"/>
    <w:rsid w:val="2205C90A"/>
    <w:rsid w:val="22371686"/>
    <w:rsid w:val="225B93E2"/>
    <w:rsid w:val="227FA4DD"/>
    <w:rsid w:val="22A4DE1E"/>
    <w:rsid w:val="22D63C56"/>
    <w:rsid w:val="22E62729"/>
    <w:rsid w:val="236D4109"/>
    <w:rsid w:val="2370DE20"/>
    <w:rsid w:val="2374034E"/>
    <w:rsid w:val="2395AB5F"/>
    <w:rsid w:val="23BE2F98"/>
    <w:rsid w:val="24047409"/>
    <w:rsid w:val="2424BDF7"/>
    <w:rsid w:val="2457F56F"/>
    <w:rsid w:val="24DF7914"/>
    <w:rsid w:val="24E3F584"/>
    <w:rsid w:val="250451BC"/>
    <w:rsid w:val="2504C1F6"/>
    <w:rsid w:val="255895FF"/>
    <w:rsid w:val="25BDF8A2"/>
    <w:rsid w:val="268FD2CF"/>
    <w:rsid w:val="26C17814"/>
    <w:rsid w:val="26FC3B57"/>
    <w:rsid w:val="2705C94D"/>
    <w:rsid w:val="2713BF17"/>
    <w:rsid w:val="2718D8BB"/>
    <w:rsid w:val="27252845"/>
    <w:rsid w:val="27578716"/>
    <w:rsid w:val="2769456E"/>
    <w:rsid w:val="27983AFA"/>
    <w:rsid w:val="28195F26"/>
    <w:rsid w:val="283E6E8D"/>
    <w:rsid w:val="289C3B01"/>
    <w:rsid w:val="29E174C8"/>
    <w:rsid w:val="2A174EF0"/>
    <w:rsid w:val="2A947183"/>
    <w:rsid w:val="2B090FF3"/>
    <w:rsid w:val="2BA478FD"/>
    <w:rsid w:val="2BAC78FC"/>
    <w:rsid w:val="2BB3EA38"/>
    <w:rsid w:val="2BD93A70"/>
    <w:rsid w:val="2BEF3DFC"/>
    <w:rsid w:val="2C6BAD8E"/>
    <w:rsid w:val="2CD7DB1F"/>
    <w:rsid w:val="2D0E8B38"/>
    <w:rsid w:val="2D3D3F63"/>
    <w:rsid w:val="2D750AD1"/>
    <w:rsid w:val="2D9B5AFA"/>
    <w:rsid w:val="2DBB7D54"/>
    <w:rsid w:val="2DC7BB5A"/>
    <w:rsid w:val="2DE281E6"/>
    <w:rsid w:val="2DFA55A6"/>
    <w:rsid w:val="2E1BF879"/>
    <w:rsid w:val="2E26115D"/>
    <w:rsid w:val="2E5DD4C1"/>
    <w:rsid w:val="2E850208"/>
    <w:rsid w:val="2E866612"/>
    <w:rsid w:val="2EA649A5"/>
    <w:rsid w:val="2EC2D654"/>
    <w:rsid w:val="2EE275FA"/>
    <w:rsid w:val="2EF089A0"/>
    <w:rsid w:val="2F5B9F30"/>
    <w:rsid w:val="2F68A426"/>
    <w:rsid w:val="2F75B819"/>
    <w:rsid w:val="2FA53B28"/>
    <w:rsid w:val="2FE41B45"/>
    <w:rsid w:val="3016116B"/>
    <w:rsid w:val="302F332F"/>
    <w:rsid w:val="30ADEFB3"/>
    <w:rsid w:val="30F6FF57"/>
    <w:rsid w:val="312855CA"/>
    <w:rsid w:val="3164251C"/>
    <w:rsid w:val="3171FC58"/>
    <w:rsid w:val="3180F81E"/>
    <w:rsid w:val="3183FCC7"/>
    <w:rsid w:val="318407F3"/>
    <w:rsid w:val="31C55ADB"/>
    <w:rsid w:val="31F397D7"/>
    <w:rsid w:val="324E11D0"/>
    <w:rsid w:val="32501F6A"/>
    <w:rsid w:val="3252945B"/>
    <w:rsid w:val="32CC4708"/>
    <w:rsid w:val="32E4A0C8"/>
    <w:rsid w:val="3353DD37"/>
    <w:rsid w:val="33A9AA69"/>
    <w:rsid w:val="342EA019"/>
    <w:rsid w:val="34625B99"/>
    <w:rsid w:val="34FCFB9D"/>
    <w:rsid w:val="34FF70B4"/>
    <w:rsid w:val="3569F8E1"/>
    <w:rsid w:val="357E2D38"/>
    <w:rsid w:val="367CA7CF"/>
    <w:rsid w:val="36DDA58A"/>
    <w:rsid w:val="36E14B2B"/>
    <w:rsid w:val="3718F326"/>
    <w:rsid w:val="37411B6E"/>
    <w:rsid w:val="3756F3AA"/>
    <w:rsid w:val="376B3A0D"/>
    <w:rsid w:val="376B548C"/>
    <w:rsid w:val="376DF59B"/>
    <w:rsid w:val="37731512"/>
    <w:rsid w:val="378E886E"/>
    <w:rsid w:val="378EEC2E"/>
    <w:rsid w:val="37C4C0AB"/>
    <w:rsid w:val="37C5DFC2"/>
    <w:rsid w:val="38010C65"/>
    <w:rsid w:val="38C53D40"/>
    <w:rsid w:val="38C66CD9"/>
    <w:rsid w:val="38F294D1"/>
    <w:rsid w:val="399F94E2"/>
    <w:rsid w:val="3A0466DD"/>
    <w:rsid w:val="3A36E8B1"/>
    <w:rsid w:val="3AF34219"/>
    <w:rsid w:val="3B0C6507"/>
    <w:rsid w:val="3B91A490"/>
    <w:rsid w:val="3C61849D"/>
    <w:rsid w:val="3C751637"/>
    <w:rsid w:val="3CA165BF"/>
    <w:rsid w:val="3CE3212D"/>
    <w:rsid w:val="3D09C952"/>
    <w:rsid w:val="3D2D74F1"/>
    <w:rsid w:val="3D4E3A8C"/>
    <w:rsid w:val="3D712A5C"/>
    <w:rsid w:val="3DA9DFBC"/>
    <w:rsid w:val="3DDF7D53"/>
    <w:rsid w:val="3DEC79B8"/>
    <w:rsid w:val="3EBD9ADF"/>
    <w:rsid w:val="3EC5E13E"/>
    <w:rsid w:val="3EC7F32F"/>
    <w:rsid w:val="3F0CFABD"/>
    <w:rsid w:val="3F0F15C5"/>
    <w:rsid w:val="3F755F05"/>
    <w:rsid w:val="3F83454C"/>
    <w:rsid w:val="3F8B3AB6"/>
    <w:rsid w:val="3FB1F37B"/>
    <w:rsid w:val="3FC2BF9C"/>
    <w:rsid w:val="3FDFD62A"/>
    <w:rsid w:val="400630B0"/>
    <w:rsid w:val="406300CF"/>
    <w:rsid w:val="40796F76"/>
    <w:rsid w:val="40A8CB1E"/>
    <w:rsid w:val="41523CC5"/>
    <w:rsid w:val="41810360"/>
    <w:rsid w:val="41854770"/>
    <w:rsid w:val="419D69F3"/>
    <w:rsid w:val="41E3DC76"/>
    <w:rsid w:val="4287B9B2"/>
    <w:rsid w:val="437D9EEA"/>
    <w:rsid w:val="43F72B12"/>
    <w:rsid w:val="4401D10C"/>
    <w:rsid w:val="444AD2FE"/>
    <w:rsid w:val="445780B8"/>
    <w:rsid w:val="447E1AE5"/>
    <w:rsid w:val="46197641"/>
    <w:rsid w:val="46370B0B"/>
    <w:rsid w:val="4695DF00"/>
    <w:rsid w:val="4708B387"/>
    <w:rsid w:val="476F03AE"/>
    <w:rsid w:val="47A5B3B7"/>
    <w:rsid w:val="47E67ABA"/>
    <w:rsid w:val="48297F33"/>
    <w:rsid w:val="485FB9A4"/>
    <w:rsid w:val="48B38AF0"/>
    <w:rsid w:val="48B8F7FB"/>
    <w:rsid w:val="48BC128A"/>
    <w:rsid w:val="4910A621"/>
    <w:rsid w:val="4943AA84"/>
    <w:rsid w:val="49546E20"/>
    <w:rsid w:val="4A2F1B4A"/>
    <w:rsid w:val="4A47DA93"/>
    <w:rsid w:val="4A81B5A8"/>
    <w:rsid w:val="4A934E25"/>
    <w:rsid w:val="4A9F3328"/>
    <w:rsid w:val="4AA52074"/>
    <w:rsid w:val="4B042F99"/>
    <w:rsid w:val="4B235276"/>
    <w:rsid w:val="4B3E8E54"/>
    <w:rsid w:val="4B40EF7D"/>
    <w:rsid w:val="4B7B8DB1"/>
    <w:rsid w:val="4BCE1670"/>
    <w:rsid w:val="4C5C333F"/>
    <w:rsid w:val="4C95C561"/>
    <w:rsid w:val="4CA6E215"/>
    <w:rsid w:val="4CA9007D"/>
    <w:rsid w:val="4CBB5707"/>
    <w:rsid w:val="4D285B7A"/>
    <w:rsid w:val="4D2AE098"/>
    <w:rsid w:val="4DB804DF"/>
    <w:rsid w:val="4E4A995B"/>
    <w:rsid w:val="4E6A7175"/>
    <w:rsid w:val="4E740407"/>
    <w:rsid w:val="4EC10427"/>
    <w:rsid w:val="4F5BCD17"/>
    <w:rsid w:val="4F854586"/>
    <w:rsid w:val="4FD8AE8A"/>
    <w:rsid w:val="4FEB778F"/>
    <w:rsid w:val="50209996"/>
    <w:rsid w:val="50CAF04C"/>
    <w:rsid w:val="50DC212C"/>
    <w:rsid w:val="5150B4A7"/>
    <w:rsid w:val="5163DD24"/>
    <w:rsid w:val="51A358C0"/>
    <w:rsid w:val="51BB7B43"/>
    <w:rsid w:val="524C951E"/>
    <w:rsid w:val="5279CBEC"/>
    <w:rsid w:val="52B5C1D4"/>
    <w:rsid w:val="52EAE706"/>
    <w:rsid w:val="52EEBF52"/>
    <w:rsid w:val="5300AE47"/>
    <w:rsid w:val="53574BA4"/>
    <w:rsid w:val="5385D3C7"/>
    <w:rsid w:val="539DBE27"/>
    <w:rsid w:val="53BCD533"/>
    <w:rsid w:val="53D8ABFF"/>
    <w:rsid w:val="53FB1218"/>
    <w:rsid w:val="54011F73"/>
    <w:rsid w:val="5418522C"/>
    <w:rsid w:val="541EE4FB"/>
    <w:rsid w:val="5453F850"/>
    <w:rsid w:val="545E10A9"/>
    <w:rsid w:val="54675D27"/>
    <w:rsid w:val="54BC5E25"/>
    <w:rsid w:val="54DAE8C6"/>
    <w:rsid w:val="54DEDEBE"/>
    <w:rsid w:val="554DEBC0"/>
    <w:rsid w:val="55616BA6"/>
    <w:rsid w:val="55CC392F"/>
    <w:rsid w:val="560CA317"/>
    <w:rsid w:val="5624509F"/>
    <w:rsid w:val="56280BAE"/>
    <w:rsid w:val="5678E95F"/>
    <w:rsid w:val="56E17014"/>
    <w:rsid w:val="5790249A"/>
    <w:rsid w:val="57F52DD7"/>
    <w:rsid w:val="57F6BB96"/>
    <w:rsid w:val="581652C6"/>
    <w:rsid w:val="582ABCC7"/>
    <w:rsid w:val="587EB676"/>
    <w:rsid w:val="58F0CCC3"/>
    <w:rsid w:val="596514D8"/>
    <w:rsid w:val="598FCF48"/>
    <w:rsid w:val="5A051345"/>
    <w:rsid w:val="5A0CFFAB"/>
    <w:rsid w:val="5A193DB1"/>
    <w:rsid w:val="5A1A8CDE"/>
    <w:rsid w:val="5A2B6A0F"/>
    <w:rsid w:val="5A7F69C5"/>
    <w:rsid w:val="5A8CA2A1"/>
    <w:rsid w:val="5AA89CB7"/>
    <w:rsid w:val="5ABD4478"/>
    <w:rsid w:val="5B33F851"/>
    <w:rsid w:val="5C1B3A26"/>
    <w:rsid w:val="5C99E780"/>
    <w:rsid w:val="5C9BDEE1"/>
    <w:rsid w:val="5CE92D7D"/>
    <w:rsid w:val="5CFA76D9"/>
    <w:rsid w:val="5D064926"/>
    <w:rsid w:val="5D261B3B"/>
    <w:rsid w:val="5D2841A7"/>
    <w:rsid w:val="5D6631FF"/>
    <w:rsid w:val="5D88E9B9"/>
    <w:rsid w:val="5DAE755B"/>
    <w:rsid w:val="5DB4BDEE"/>
    <w:rsid w:val="5E95CF6B"/>
    <w:rsid w:val="5E99FE4B"/>
    <w:rsid w:val="5EB7257B"/>
    <w:rsid w:val="5EF430AF"/>
    <w:rsid w:val="5F16E8BC"/>
    <w:rsid w:val="5F3F10BD"/>
    <w:rsid w:val="5F7BBE3E"/>
    <w:rsid w:val="5FC7D9E1"/>
    <w:rsid w:val="5FE2EB7A"/>
    <w:rsid w:val="5FEE4117"/>
    <w:rsid w:val="601FC10D"/>
    <w:rsid w:val="6035CEAC"/>
    <w:rsid w:val="605FE269"/>
    <w:rsid w:val="609AAB93"/>
    <w:rsid w:val="60B91FCA"/>
    <w:rsid w:val="60D6EA5A"/>
    <w:rsid w:val="60F12256"/>
    <w:rsid w:val="6126250C"/>
    <w:rsid w:val="612C85FC"/>
    <w:rsid w:val="617499CA"/>
    <w:rsid w:val="618A1178"/>
    <w:rsid w:val="61BB916E"/>
    <w:rsid w:val="620C4105"/>
    <w:rsid w:val="6236D6EA"/>
    <w:rsid w:val="627D6EB8"/>
    <w:rsid w:val="62EF101B"/>
    <w:rsid w:val="62F2CEC1"/>
    <w:rsid w:val="632983D9"/>
    <w:rsid w:val="6332CD82"/>
    <w:rsid w:val="6354B6E2"/>
    <w:rsid w:val="63EC0EC6"/>
    <w:rsid w:val="64003141"/>
    <w:rsid w:val="652014E4"/>
    <w:rsid w:val="6576B6E4"/>
    <w:rsid w:val="65CA0D76"/>
    <w:rsid w:val="65D8EB6D"/>
    <w:rsid w:val="65E6FFBB"/>
    <w:rsid w:val="660172B3"/>
    <w:rsid w:val="661E8248"/>
    <w:rsid w:val="662379D0"/>
    <w:rsid w:val="66873D44"/>
    <w:rsid w:val="66AF5F3E"/>
    <w:rsid w:val="66D5D1E6"/>
    <w:rsid w:val="66E356AC"/>
    <w:rsid w:val="6754DCF6"/>
    <w:rsid w:val="676DF762"/>
    <w:rsid w:val="67AA7282"/>
    <w:rsid w:val="67FE8787"/>
    <w:rsid w:val="68836EA0"/>
    <w:rsid w:val="689FA489"/>
    <w:rsid w:val="68C9651C"/>
    <w:rsid w:val="68D56418"/>
    <w:rsid w:val="68FA325D"/>
    <w:rsid w:val="690AD1A8"/>
    <w:rsid w:val="697EE4B4"/>
    <w:rsid w:val="6A08E7C2"/>
    <w:rsid w:val="6A66C7A5"/>
    <w:rsid w:val="6B0ECBCA"/>
    <w:rsid w:val="6B5D6978"/>
    <w:rsid w:val="6B72282A"/>
    <w:rsid w:val="6BC75D0B"/>
    <w:rsid w:val="6C0C18D6"/>
    <w:rsid w:val="6C6111B3"/>
    <w:rsid w:val="6D02ECCC"/>
    <w:rsid w:val="6D68A06C"/>
    <w:rsid w:val="6D880B92"/>
    <w:rsid w:val="6DBDF15A"/>
    <w:rsid w:val="6DCBE3C7"/>
    <w:rsid w:val="6DF2CB6D"/>
    <w:rsid w:val="6E355ECD"/>
    <w:rsid w:val="6E74B5E0"/>
    <w:rsid w:val="6EA20C94"/>
    <w:rsid w:val="6F418141"/>
    <w:rsid w:val="6F99BB20"/>
    <w:rsid w:val="6FCFF103"/>
    <w:rsid w:val="6FF0463A"/>
    <w:rsid w:val="7022951C"/>
    <w:rsid w:val="7034C6E9"/>
    <w:rsid w:val="703DDCF5"/>
    <w:rsid w:val="7050CE26"/>
    <w:rsid w:val="70975194"/>
    <w:rsid w:val="70EAE469"/>
    <w:rsid w:val="70EFCF2C"/>
    <w:rsid w:val="716EEC29"/>
    <w:rsid w:val="717FEAA3"/>
    <w:rsid w:val="7193F88E"/>
    <w:rsid w:val="7209E6DB"/>
    <w:rsid w:val="7210E105"/>
    <w:rsid w:val="72565C16"/>
    <w:rsid w:val="727EFEB8"/>
    <w:rsid w:val="72FD1820"/>
    <w:rsid w:val="73DA3FD0"/>
    <w:rsid w:val="74747109"/>
    <w:rsid w:val="74781630"/>
    <w:rsid w:val="74C30AB5"/>
    <w:rsid w:val="74D4B822"/>
    <w:rsid w:val="74DE1A83"/>
    <w:rsid w:val="750D94E1"/>
    <w:rsid w:val="754C000B"/>
    <w:rsid w:val="75542668"/>
    <w:rsid w:val="7566C6F1"/>
    <w:rsid w:val="75A92801"/>
    <w:rsid w:val="75AE8E65"/>
    <w:rsid w:val="75C1F5B4"/>
    <w:rsid w:val="75C7C900"/>
    <w:rsid w:val="75D884A0"/>
    <w:rsid w:val="75F2EF1E"/>
    <w:rsid w:val="75FB7927"/>
    <w:rsid w:val="76235102"/>
    <w:rsid w:val="76630263"/>
    <w:rsid w:val="76CEE578"/>
    <w:rsid w:val="76CF9E2F"/>
    <w:rsid w:val="76EFB6DB"/>
    <w:rsid w:val="76EFF6C9"/>
    <w:rsid w:val="76FF136C"/>
    <w:rsid w:val="7751FC82"/>
    <w:rsid w:val="77676958"/>
    <w:rsid w:val="77813D51"/>
    <w:rsid w:val="778588D7"/>
    <w:rsid w:val="77EA0B74"/>
    <w:rsid w:val="7808A284"/>
    <w:rsid w:val="78208A5F"/>
    <w:rsid w:val="78214699"/>
    <w:rsid w:val="7885408B"/>
    <w:rsid w:val="78C17BD7"/>
    <w:rsid w:val="78CF4FE8"/>
    <w:rsid w:val="79B67A32"/>
    <w:rsid w:val="7A1A962C"/>
    <w:rsid w:val="7A27978B"/>
    <w:rsid w:val="7A9C8099"/>
    <w:rsid w:val="7B12867E"/>
    <w:rsid w:val="7B19DC17"/>
    <w:rsid w:val="7B892486"/>
    <w:rsid w:val="7C00BC9A"/>
    <w:rsid w:val="7C0F0543"/>
    <w:rsid w:val="7C24862D"/>
    <w:rsid w:val="7C742196"/>
    <w:rsid w:val="7CAC7392"/>
    <w:rsid w:val="7CB4E577"/>
    <w:rsid w:val="7D9DE975"/>
    <w:rsid w:val="7DAF43AE"/>
    <w:rsid w:val="7DBFBD3E"/>
    <w:rsid w:val="7E470012"/>
    <w:rsid w:val="7EADB4FA"/>
    <w:rsid w:val="7EF4C28E"/>
    <w:rsid w:val="7F08CCE0"/>
    <w:rsid w:val="7F1D8BF4"/>
    <w:rsid w:val="7F422E4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C576"/>
  <w15:docId w15:val="{E468745B-35AC-4C7E-B842-138BE963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8FC"/>
    <w:pPr>
      <w:widowControl w:val="0"/>
      <w:suppressAutoHyphens/>
    </w:pPr>
    <w:rPr>
      <w:rFonts w:ascii="Liberation Serif" w:hAnsi="Liberation Serif" w:eastAsia="Lucida Sans Unicode" w:cs="Mangal"/>
      <w:kern w:val="2"/>
      <w:sz w:val="24"/>
      <w:szCs w:val="24"/>
      <w:lang w:eastAsia="zh-CN" w:bidi="hi-I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CorpodetextoChar" w:customStyle="1">
    <w:name w:val="Corpo de texto Char"/>
    <w:basedOn w:val="Fontepargpadro"/>
    <w:link w:val="Corpodetexto"/>
    <w:qFormat/>
    <w:rsid w:val="005F28FC"/>
    <w:rPr>
      <w:rFonts w:ascii="Liberation Serif" w:hAnsi="Liberation Serif" w:eastAsia="Lucida Sans Unicode" w:cs="Mangal"/>
      <w:kern w:val="2"/>
      <w:sz w:val="24"/>
      <w:szCs w:val="24"/>
      <w:lang w:eastAsia="zh-CN" w:bidi="hi-IN"/>
    </w:rPr>
  </w:style>
  <w:style w:type="character" w:styleId="LinkdaInternet" w:customStyle="1">
    <w:name w:val="Link da Internet"/>
    <w:uiPriority w:val="99"/>
    <w:unhideWhenUsed/>
    <w:rsid w:val="005F28FC"/>
    <w:rPr>
      <w:color w:val="0000FF"/>
      <w:u w:val="single"/>
    </w:rPr>
  </w:style>
  <w:style w:type="character" w:styleId="CabealhoChar" w:customStyle="1">
    <w:name w:val="Cabeçalho Char"/>
    <w:basedOn w:val="Fontepargpadro"/>
    <w:link w:val="Cabealho"/>
    <w:uiPriority w:val="99"/>
    <w:qFormat/>
    <w:rsid w:val="005F28FC"/>
    <w:rPr>
      <w:rFonts w:ascii="Liberation Serif" w:hAnsi="Liberation Serif" w:eastAsia="Lucida Sans Unicode" w:cs="Mangal"/>
      <w:kern w:val="2"/>
      <w:sz w:val="24"/>
      <w:szCs w:val="21"/>
      <w:lang w:eastAsia="zh-CN" w:bidi="hi-IN"/>
    </w:rPr>
  </w:style>
  <w:style w:type="character" w:styleId="RodapChar" w:customStyle="1">
    <w:name w:val="Rodapé Char"/>
    <w:basedOn w:val="Fontepargpadro"/>
    <w:link w:val="Rodap"/>
    <w:uiPriority w:val="99"/>
    <w:qFormat/>
    <w:rsid w:val="005F28FC"/>
    <w:rPr>
      <w:rFonts w:ascii="Liberation Serif" w:hAnsi="Liberation Serif" w:eastAsia="Lucida Sans Unicode" w:cs="Mangal"/>
      <w:kern w:val="2"/>
      <w:sz w:val="24"/>
      <w:szCs w:val="21"/>
      <w:lang w:eastAsia="zh-CN" w:bidi="hi-IN"/>
    </w:rPr>
  </w:style>
  <w:style w:type="character" w:styleId="TextodoEspaoReservado">
    <w:name w:val="Placeholder Text"/>
    <w:basedOn w:val="Fontepargpadro"/>
    <w:uiPriority w:val="99"/>
    <w:semiHidden/>
    <w:qFormat/>
    <w:rsid w:val="002C73D2"/>
    <w:rPr>
      <w:color w:val="808080"/>
    </w:rPr>
  </w:style>
  <w:style w:type="character" w:styleId="ListLabel1" w:customStyle="1">
    <w:name w:val="ListLabel 1"/>
    <w:qFormat/>
    <w:rPr>
      <w:b/>
      <w:bCs/>
    </w:rPr>
  </w:style>
  <w:style w:type="paragraph" w:styleId="Ttulo">
    <w:name w:val="Title"/>
    <w:basedOn w:val="Normal"/>
    <w:next w:val="Corpodetexto"/>
    <w:qFormat/>
    <w:pPr>
      <w:keepNext/>
      <w:spacing w:before="240" w:after="120"/>
    </w:pPr>
    <w:rPr>
      <w:rFonts w:ascii="Arial" w:hAnsi="Arial" w:eastAsia="Microsoft YaHei" w:cs="Arial"/>
      <w:sz w:val="28"/>
      <w:szCs w:val="28"/>
    </w:rPr>
  </w:style>
  <w:style w:type="paragraph" w:styleId="Corpodetexto">
    <w:name w:val="Body Text"/>
    <w:basedOn w:val="Normal"/>
    <w:link w:val="CorpodetextoChar"/>
    <w:rsid w:val="005F28FC"/>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Cabealho">
    <w:name w:val="header"/>
    <w:basedOn w:val="Normal"/>
    <w:link w:val="CabealhoChar"/>
    <w:uiPriority w:val="99"/>
    <w:unhideWhenUsed/>
    <w:rsid w:val="005F28FC"/>
    <w:pPr>
      <w:tabs>
        <w:tab w:val="center" w:pos="4252"/>
        <w:tab w:val="right" w:pos="8504"/>
      </w:tabs>
    </w:pPr>
    <w:rPr>
      <w:szCs w:val="21"/>
    </w:rPr>
  </w:style>
  <w:style w:type="paragraph" w:styleId="Rodap">
    <w:name w:val="footer"/>
    <w:basedOn w:val="Normal"/>
    <w:link w:val="RodapChar"/>
    <w:uiPriority w:val="99"/>
    <w:unhideWhenUsed/>
    <w:rsid w:val="005F28FC"/>
    <w:pPr>
      <w:tabs>
        <w:tab w:val="center" w:pos="4252"/>
        <w:tab w:val="right" w:pos="8504"/>
      </w:tabs>
    </w:pPr>
    <w:rPr>
      <w:szCs w:val="21"/>
    </w:rPr>
  </w:style>
  <w:style w:type="paragraph" w:styleId="NormalWeb">
    <w:name w:val="Normal (Web)"/>
    <w:basedOn w:val="Normal"/>
    <w:uiPriority w:val="99"/>
    <w:unhideWhenUsed/>
    <w:qFormat/>
    <w:rsid w:val="005F28FC"/>
    <w:pPr>
      <w:widowControl/>
      <w:suppressAutoHyphens w:val="0"/>
      <w:spacing w:beforeAutospacing="1" w:afterAutospacing="1"/>
    </w:pPr>
    <w:rPr>
      <w:rFonts w:ascii="Times New Roman" w:hAnsi="Times New Roman" w:eastAsia="Times New Roman" w:cs="Times New Roman"/>
      <w:kern w:val="0"/>
      <w:lang w:eastAsia="pt-BR" w:bidi="ar-SA"/>
    </w:rPr>
  </w:style>
  <w:style w:type="paragraph" w:styleId="Default" w:customStyle="1">
    <w:name w:val="Default"/>
    <w:qFormat/>
    <w:rsid w:val="009D129B"/>
    <w:rPr>
      <w:rFonts w:ascii="Arial" w:hAnsi="Arial" w:eastAsia="Times New Roman" w:cs="Arial"/>
      <w:color w:val="000000"/>
      <w:sz w:val="24"/>
      <w:szCs w:val="24"/>
      <w:lang w:eastAsia="pt-BR"/>
    </w:rPr>
  </w:style>
  <w:style w:type="paragraph" w:styleId="PargrafodaLista">
    <w:name w:val="List Paragraph"/>
    <w:basedOn w:val="Normal"/>
    <w:uiPriority w:val="34"/>
    <w:qFormat/>
    <w:rsid w:val="000E72ED"/>
    <w:pPr>
      <w:widowControl/>
      <w:suppressAutoHyphens w:val="0"/>
      <w:spacing w:line="360" w:lineRule="auto"/>
      <w:ind w:left="720"/>
      <w:contextualSpacing/>
    </w:pPr>
    <w:rPr>
      <w:rFonts w:ascii="Arial" w:hAnsi="Arial" w:eastAsiaTheme="minorHAnsi" w:cstheme="minorBidi"/>
      <w:kern w:val="0"/>
      <w:szCs w:val="22"/>
      <w:lang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ontepargpadro"/>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word/glossary/document.xml" Id="Rca8c334738e1452f" /><Relationship Type="http://schemas.openxmlformats.org/officeDocument/2006/relationships/hyperlink" Target="https://word-edit.officeapps.live.com/we/alvesdefreitas6@gmail.com" TargetMode="External" Id="R18e25e5d91674de6" /><Relationship Type="http://schemas.openxmlformats.org/officeDocument/2006/relationships/hyperlink" Target="mailto:gabriele_aparecida@hotmail.com" TargetMode="External" Id="R626b7ee9bfa348d2" /><Relationship Type="http://schemas.openxmlformats.org/officeDocument/2006/relationships/hyperlink" Target="mailto:mariajulia1990@hotmail.com" TargetMode="External" Id="Rbdcc1539d9eb4a7a" /><Relationship Type="http://schemas.openxmlformats.org/officeDocument/2006/relationships/hyperlink" Target="mailto:mathmouraf@hotmail.com" TargetMode="External" Id="R9c3045b4ac234ebe" /><Relationship Type="http://schemas.openxmlformats.org/officeDocument/2006/relationships/hyperlink" Target="mailto:paulogabrielnutri@gmail.com" TargetMode="External" Id="Rb527cd6bf8d0425a"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ddb77ec-853a-4436-af05-2d261934d4aa}"/>
      </w:docPartPr>
      <w:docPartBody>
        <w:p w14:paraId="0FC8270A">
          <w:r>
            <w:rPr>
              <w:rStyle w:val="PlaceholderText"/>
            </w:rPr>
            <w:t/>
          </w:r>
        </w:p>
      </w:docPartBody>
    </w:docPart>
  </w:docParts>
</w:glossaryDocument>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BF0D-5F62-4078-91E1-010FF21268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Ciléia Henriques</dc:creator>
  <dc:description/>
  <lastModifiedBy>MATEUS ALVES DE FREITAS</lastModifiedBy>
  <revision>12</revision>
  <dcterms:created xsi:type="dcterms:W3CDTF">2021-03-03T19:39:00.0000000Z</dcterms:created>
  <dcterms:modified xsi:type="dcterms:W3CDTF">2021-04-25T02:14:46.5672864Z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