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AB83F" w14:textId="5F71F719" w:rsidR="006A5A39" w:rsidRDefault="00A72A3E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QUANTIFICAÇÃO DAS CONTAGENS MICROBIANAS TOTAIS PRESENTES NAS SUPERFÍCIES DE CARCAÇAS DE </w:t>
      </w:r>
      <w:r w:rsidR="00241C20">
        <w:rPr>
          <w:rFonts w:ascii="Arial" w:eastAsia="Arial" w:hAnsi="Arial" w:cs="Arial"/>
          <w:b/>
          <w:sz w:val="24"/>
          <w:szCs w:val="24"/>
        </w:rPr>
        <w:t>SUÍNOS</w:t>
      </w:r>
      <w:r>
        <w:rPr>
          <w:rFonts w:ascii="Arial" w:eastAsia="Arial" w:hAnsi="Arial" w:cs="Arial"/>
          <w:b/>
          <w:sz w:val="24"/>
          <w:szCs w:val="24"/>
        </w:rPr>
        <w:t xml:space="preserve"> DURANTE LINHA DE ABATE</w:t>
      </w:r>
    </w:p>
    <w:p w14:paraId="68FB3801" w14:textId="77777777" w:rsidR="006A5A39" w:rsidRDefault="006A5A39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A06698" w14:textId="77777777" w:rsidR="006A5A39" w:rsidRDefault="006A5A39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C8C7BBC" w14:textId="77777777" w:rsidR="006A5A39" w:rsidRDefault="00A72A3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Danielle Carmo da Silva</w:t>
      </w:r>
      <w:r>
        <w:rPr>
          <w:rFonts w:ascii="Arial" w:eastAsia="Arial" w:hAnsi="Arial" w:cs="Arial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Stefani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Machado Lopes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, Roberta </w:t>
      </w:r>
      <w:proofErr w:type="spellStart"/>
      <w:r>
        <w:rPr>
          <w:rFonts w:ascii="Arial" w:eastAsia="Arial" w:hAnsi="Arial" w:cs="Arial"/>
          <w:sz w:val="24"/>
          <w:szCs w:val="24"/>
        </w:rPr>
        <w:t>Fogliatto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Mariot</w:t>
      </w:r>
      <w:r>
        <w:rPr>
          <w:rFonts w:ascii="Arial" w:eastAsia="Arial" w:hAnsi="Arial" w:cs="Arial"/>
          <w:sz w:val="24"/>
          <w:szCs w:val="24"/>
          <w:vertAlign w:val="superscript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Cheila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Minéia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Daniel de Paula</w:t>
      </w:r>
      <w:r>
        <w:rPr>
          <w:rFonts w:ascii="Arial" w:eastAsia="Arial" w:hAnsi="Arial" w:cs="Arial"/>
          <w:sz w:val="24"/>
          <w:szCs w:val="24"/>
          <w:vertAlign w:val="superscript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, Patrícia </w:t>
      </w:r>
      <w:proofErr w:type="spellStart"/>
      <w:r>
        <w:rPr>
          <w:rFonts w:ascii="Arial" w:eastAsia="Arial" w:hAnsi="Arial" w:cs="Arial"/>
          <w:sz w:val="24"/>
          <w:szCs w:val="24"/>
        </w:rPr>
        <w:t>Heidrich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Amaral</w:t>
      </w:r>
      <w:r>
        <w:rPr>
          <w:rFonts w:ascii="Arial" w:eastAsia="Arial" w:hAnsi="Arial" w:cs="Arial"/>
          <w:sz w:val="24"/>
          <w:szCs w:val="24"/>
          <w:vertAlign w:val="superscript"/>
        </w:rPr>
        <w:t>5</w:t>
      </w:r>
      <w:r>
        <w:rPr>
          <w:rFonts w:ascii="Arial" w:eastAsia="Arial" w:hAnsi="Arial" w:cs="Arial"/>
          <w:sz w:val="24"/>
          <w:szCs w:val="24"/>
        </w:rPr>
        <w:t>, Eduardo Cesar Tondo</w:t>
      </w:r>
      <w:r>
        <w:rPr>
          <w:rFonts w:ascii="Arial" w:eastAsia="Arial" w:hAnsi="Arial" w:cs="Arial"/>
          <w:sz w:val="24"/>
          <w:szCs w:val="24"/>
          <w:vertAlign w:val="superscript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</w:p>
    <w:p w14:paraId="04739CB7" w14:textId="77777777" w:rsidR="006A5A39" w:rsidRDefault="00A72A3E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>Discente do curso de Doutorado em Ciência e Tecnologia de Alimentos da Universidade Federal do Rio Grande do Sul (daniellecarmos@gmail.com).</w:t>
      </w:r>
    </w:p>
    <w:p w14:paraId="624FBB8C" w14:textId="77777777" w:rsidR="006A5A39" w:rsidRDefault="006A5A39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DAC400" w14:textId="4D122C1D" w:rsidR="006A5A39" w:rsidRDefault="00A72A3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Atualmente, o Brasil é o </w:t>
      </w:r>
      <w:r w:rsidR="00AF0F51">
        <w:rPr>
          <w:rFonts w:ascii="Arial" w:eastAsia="Arial" w:hAnsi="Arial" w:cs="Arial"/>
          <w:sz w:val="24"/>
          <w:szCs w:val="24"/>
        </w:rPr>
        <w:t>quarto</w:t>
      </w:r>
      <w:r>
        <w:rPr>
          <w:rFonts w:ascii="Arial" w:eastAsia="Arial" w:hAnsi="Arial" w:cs="Arial"/>
          <w:sz w:val="24"/>
          <w:szCs w:val="24"/>
        </w:rPr>
        <w:t xml:space="preserve"> maior produtor de carne suína do mundo, e estima-se que </w:t>
      </w:r>
      <w:r w:rsidR="00AF0F51">
        <w:rPr>
          <w:rFonts w:ascii="Arial" w:eastAsia="Arial" w:hAnsi="Arial" w:cs="Arial"/>
          <w:sz w:val="24"/>
          <w:szCs w:val="24"/>
        </w:rPr>
        <w:t>ess</w:t>
      </w:r>
      <w:r>
        <w:rPr>
          <w:rFonts w:ascii="Arial" w:eastAsia="Arial" w:hAnsi="Arial" w:cs="Arial"/>
          <w:sz w:val="24"/>
          <w:szCs w:val="24"/>
        </w:rPr>
        <w:t>as exportações aumentem</w:t>
      </w:r>
      <w:r>
        <w:rPr>
          <w:rFonts w:ascii="Arial" w:eastAsia="Arial" w:hAnsi="Arial" w:cs="Arial"/>
          <w:sz w:val="24"/>
          <w:szCs w:val="24"/>
        </w:rPr>
        <w:t>. O objetivo deste estudo foi quantificar as variações nas contagens microbianas totais (CT) na superfície de carcaças suínas em diferentes etapas de um</w:t>
      </w:r>
      <w:r>
        <w:rPr>
          <w:rFonts w:ascii="Arial" w:eastAsia="Arial" w:hAnsi="Arial" w:cs="Arial"/>
          <w:sz w:val="24"/>
          <w:szCs w:val="24"/>
        </w:rPr>
        <w:t>a linha de abate. O estudo foi realizado em uma grande frigorífica exportadora de suínos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no </w:t>
      </w:r>
      <w:r>
        <w:rPr>
          <w:rFonts w:ascii="Arial" w:eastAsia="Arial" w:hAnsi="Arial" w:cs="Arial"/>
          <w:sz w:val="24"/>
          <w:szCs w:val="24"/>
        </w:rPr>
        <w:t>Rio Grande do Sul, Brasil. A</w:t>
      </w:r>
      <w:r w:rsidR="00AF0F51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CT de 239 carcaças suínas fo</w:t>
      </w:r>
      <w:r w:rsidR="00AF0F51"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z w:val="24"/>
          <w:szCs w:val="24"/>
        </w:rPr>
        <w:t xml:space="preserve"> determinada</w:t>
      </w:r>
      <w:r w:rsidR="00AF0F51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por meio de esfregaço de área de 100 cm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 no presunto, barriga, lombo e </w:t>
      </w:r>
      <w:r>
        <w:rPr>
          <w:rFonts w:ascii="Arial" w:eastAsia="Arial" w:hAnsi="Arial" w:cs="Arial"/>
          <w:sz w:val="24"/>
          <w:szCs w:val="24"/>
        </w:rPr>
        <w:t>pescoço das carcaças, perfazendo uma área total de 400 cm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, utilizando uma esponja de celulose estéril umedecida em 10 ml água </w:t>
      </w:r>
      <w:proofErr w:type="spellStart"/>
      <w:r>
        <w:rPr>
          <w:rFonts w:ascii="Arial" w:eastAsia="Arial" w:hAnsi="Arial" w:cs="Arial"/>
          <w:sz w:val="24"/>
          <w:szCs w:val="24"/>
        </w:rPr>
        <w:t>peptonada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(AP) em saco plástico estéril. Após o </w:t>
      </w:r>
      <w:proofErr w:type="spellStart"/>
      <w:r>
        <w:rPr>
          <w:rFonts w:ascii="Arial" w:eastAsia="Arial" w:hAnsi="Arial" w:cs="Arial"/>
          <w:sz w:val="24"/>
          <w:szCs w:val="24"/>
        </w:rPr>
        <w:t>swab</w:t>
      </w:r>
      <w:proofErr w:type="spellEnd"/>
      <w:r>
        <w:rPr>
          <w:rFonts w:ascii="Arial" w:eastAsia="Arial" w:hAnsi="Arial" w:cs="Arial"/>
          <w:sz w:val="24"/>
          <w:szCs w:val="24"/>
        </w:rPr>
        <w:t>, as esponjas foram colocadas de volta no mesmo saco plástico, foram homogene</w:t>
      </w:r>
      <w:r>
        <w:rPr>
          <w:rFonts w:ascii="Arial" w:eastAsia="Arial" w:hAnsi="Arial" w:cs="Arial"/>
          <w:sz w:val="24"/>
          <w:szCs w:val="24"/>
        </w:rPr>
        <w:t xml:space="preserve">izadas com 90 ml de (AP) e transportadas para o laboratório em condições adequadas. As etapas do processo de abate que foram examinadas para CT foram: sangramento; lavagem; </w:t>
      </w:r>
      <w:proofErr w:type="spellStart"/>
      <w:r>
        <w:rPr>
          <w:rFonts w:ascii="Arial" w:eastAsia="Arial" w:hAnsi="Arial" w:cs="Arial"/>
          <w:sz w:val="24"/>
          <w:szCs w:val="24"/>
        </w:rPr>
        <w:t>escaldagem</w:t>
      </w:r>
      <w:proofErr w:type="spellEnd"/>
      <w:r>
        <w:rPr>
          <w:rFonts w:ascii="Arial" w:eastAsia="Arial" w:hAnsi="Arial" w:cs="Arial"/>
          <w:sz w:val="24"/>
          <w:szCs w:val="24"/>
        </w:rPr>
        <w:t>; depilação; primeiro polimento; primeiro chamuscamento; segundo poliment</w:t>
      </w:r>
      <w:r>
        <w:rPr>
          <w:rFonts w:ascii="Arial" w:eastAsia="Arial" w:hAnsi="Arial" w:cs="Arial"/>
          <w:sz w:val="24"/>
          <w:szCs w:val="24"/>
        </w:rPr>
        <w:t xml:space="preserve">o; segundo chamuscamento; e o banho manual. No laboratório, diluições seriadas da suspensão bacteriana resultante foram preparadas, semeadas em Plate </w:t>
      </w:r>
      <w:proofErr w:type="spellStart"/>
      <w:r>
        <w:rPr>
          <w:rFonts w:ascii="Arial" w:eastAsia="Arial" w:hAnsi="Arial" w:cs="Arial"/>
          <w:sz w:val="24"/>
          <w:szCs w:val="24"/>
        </w:rPr>
        <w:t>Count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Agar (PCA) e incubadas a 37°C, por 48h. As diferenças nas CT</w:t>
      </w:r>
      <w:r>
        <w:rPr>
          <w:rFonts w:ascii="Arial" w:eastAsia="Arial" w:hAnsi="Arial" w:cs="Arial"/>
          <w:sz w:val="24"/>
          <w:szCs w:val="24"/>
        </w:rPr>
        <w:t xml:space="preserve"> foram avaliadas usando análise de vari</w:t>
      </w:r>
      <w:r>
        <w:rPr>
          <w:rFonts w:ascii="Arial" w:eastAsia="Arial" w:hAnsi="Arial" w:cs="Arial"/>
          <w:sz w:val="24"/>
          <w:szCs w:val="24"/>
        </w:rPr>
        <w:t xml:space="preserve">ância </w:t>
      </w:r>
      <w:r w:rsidR="001F6196">
        <w:rPr>
          <w:rFonts w:ascii="Arial" w:eastAsia="Arial" w:hAnsi="Arial" w:cs="Arial"/>
          <w:sz w:val="24"/>
          <w:szCs w:val="24"/>
        </w:rPr>
        <w:t>com</w:t>
      </w:r>
      <w:r w:rsidR="001F6196" w:rsidRPr="001F6196">
        <w:rPr>
          <w:rFonts w:ascii="Arial" w:eastAsia="Arial" w:hAnsi="Arial" w:cs="Arial"/>
          <w:sz w:val="24"/>
          <w:szCs w:val="24"/>
        </w:rPr>
        <w:t xml:space="preserve"> teste de randomização usando a soma dos quadrados entre os grupos (estatística </w:t>
      </w:r>
      <w:proofErr w:type="spellStart"/>
      <w:r w:rsidR="001F6196" w:rsidRPr="001F6196">
        <w:rPr>
          <w:rFonts w:ascii="Arial" w:eastAsia="Arial" w:hAnsi="Arial" w:cs="Arial"/>
          <w:sz w:val="24"/>
          <w:szCs w:val="24"/>
        </w:rPr>
        <w:t>Qb</w:t>
      </w:r>
      <w:proofErr w:type="spellEnd"/>
      <w:r w:rsidR="001F6196" w:rsidRPr="001F6196">
        <w:rPr>
          <w:rFonts w:ascii="Arial" w:eastAsia="Arial" w:hAnsi="Arial" w:cs="Arial"/>
          <w:sz w:val="24"/>
          <w:szCs w:val="24"/>
        </w:rPr>
        <w:t>)</w:t>
      </w:r>
      <w:r w:rsidR="001F6196">
        <w:rPr>
          <w:rFonts w:ascii="Arial" w:eastAsia="Arial" w:hAnsi="Arial" w:cs="Arial"/>
          <w:sz w:val="24"/>
          <w:szCs w:val="24"/>
        </w:rPr>
        <w:t xml:space="preserve"> e d</w:t>
      </w:r>
      <w:r w:rsidR="001F6196" w:rsidRPr="001F6196">
        <w:rPr>
          <w:rFonts w:ascii="Arial" w:eastAsia="Arial" w:hAnsi="Arial" w:cs="Arial"/>
          <w:sz w:val="24"/>
          <w:szCs w:val="24"/>
        </w:rPr>
        <w:t>iferenças significativas nível de 5%.</w:t>
      </w:r>
      <w:r w:rsidR="001F619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média de CT após a lavagem foi de 6,97 log UFC/cm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, enquanto após a </w:t>
      </w:r>
      <w:proofErr w:type="spellStart"/>
      <w:r>
        <w:rPr>
          <w:rFonts w:ascii="Arial" w:eastAsia="Arial" w:hAnsi="Arial" w:cs="Arial"/>
          <w:sz w:val="24"/>
          <w:szCs w:val="24"/>
        </w:rPr>
        <w:t>escaldagem</w:t>
      </w:r>
      <w:proofErr w:type="spellEnd"/>
      <w:r>
        <w:rPr>
          <w:rFonts w:ascii="Arial" w:eastAsia="Arial" w:hAnsi="Arial" w:cs="Arial"/>
          <w:sz w:val="24"/>
          <w:szCs w:val="24"/>
        </w:rPr>
        <w:t>, diminuiu para 4,16 log UFC/cm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>, representando uma redução de 99,85% nas contagens totais. Após ess</w:t>
      </w:r>
      <w:r>
        <w:rPr>
          <w:rFonts w:ascii="Arial" w:eastAsia="Arial" w:hAnsi="Arial" w:cs="Arial"/>
          <w:sz w:val="24"/>
          <w:szCs w:val="24"/>
        </w:rPr>
        <w:t>a etapa, na depilação, a média de CT aumentou para 5,98 log UFC/cm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>, evidenciando um aumento significativo. Além disso, após a primeira e segunda etapas de polimento, as médias de CT também aumentaram significativamente quando comparadas às etapas anterior</w:t>
      </w:r>
      <w:r>
        <w:rPr>
          <w:rFonts w:ascii="Arial" w:eastAsia="Arial" w:hAnsi="Arial" w:cs="Arial"/>
          <w:sz w:val="24"/>
          <w:szCs w:val="24"/>
        </w:rPr>
        <w:t>es (depilação e primeira chamuscamento), atingindo contagens de 6,90 log UFC/cm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 e </w:t>
      </w:r>
      <w:proofErr w:type="gramStart"/>
      <w:r>
        <w:rPr>
          <w:rFonts w:ascii="Arial" w:eastAsia="Arial" w:hAnsi="Arial" w:cs="Arial"/>
          <w:sz w:val="24"/>
          <w:szCs w:val="24"/>
        </w:rPr>
        <w:t>5,69 log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UFC/cm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>, respectivamente. Entretanto, após os dois estágios de chamuscamento, as médias de CT diminuíram drasticamente para 4,19 log UFC/cm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lastRenderedPageBreak/>
        <w:t>e 4,44 UFC/cm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>, respec</w:t>
      </w:r>
      <w:r>
        <w:rPr>
          <w:rFonts w:ascii="Arial" w:eastAsia="Arial" w:hAnsi="Arial" w:cs="Arial"/>
          <w:sz w:val="24"/>
          <w:szCs w:val="24"/>
        </w:rPr>
        <w:t xml:space="preserve">tivamente. Após a etapa de banho manual, a média do CT aumentou, mas não significativamente. Desta forma, as etapas de </w:t>
      </w:r>
      <w:proofErr w:type="spellStart"/>
      <w:r>
        <w:rPr>
          <w:rFonts w:ascii="Arial" w:eastAsia="Arial" w:hAnsi="Arial" w:cs="Arial"/>
          <w:sz w:val="24"/>
          <w:szCs w:val="24"/>
        </w:rPr>
        <w:t>escaldagem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chamuscamento foram identificadas como etapas importantes para a redução da CT </w:t>
      </w:r>
      <w:r w:rsidR="00AF0F51">
        <w:rPr>
          <w:rFonts w:ascii="Arial" w:eastAsia="Arial" w:hAnsi="Arial" w:cs="Arial"/>
          <w:sz w:val="24"/>
          <w:szCs w:val="24"/>
        </w:rPr>
        <w:t>nas</w:t>
      </w:r>
      <w:r>
        <w:rPr>
          <w:rFonts w:ascii="Arial" w:eastAsia="Arial" w:hAnsi="Arial" w:cs="Arial"/>
          <w:sz w:val="24"/>
          <w:szCs w:val="24"/>
        </w:rPr>
        <w:t xml:space="preserve"> carcaças</w:t>
      </w:r>
      <w:r>
        <w:rPr>
          <w:rFonts w:ascii="Arial" w:eastAsia="Arial" w:hAnsi="Arial" w:cs="Arial"/>
          <w:sz w:val="24"/>
          <w:szCs w:val="24"/>
        </w:rPr>
        <w:t>. No entanto, aumentos s</w:t>
      </w:r>
      <w:r>
        <w:rPr>
          <w:rFonts w:ascii="Arial" w:eastAsia="Arial" w:hAnsi="Arial" w:cs="Arial"/>
          <w:sz w:val="24"/>
          <w:szCs w:val="24"/>
        </w:rPr>
        <w:t>ignificativos na incidência de CT foram verificados após as etapas de depilação e polimento, sugerindo que uma atenção deve ser dada ao projeto higiênico dos equipamentos envolvidos nessas operações que podem reduzir a contaminação microbiológica das carca</w:t>
      </w:r>
      <w:r>
        <w:rPr>
          <w:rFonts w:ascii="Arial" w:eastAsia="Arial" w:hAnsi="Arial" w:cs="Arial"/>
          <w:sz w:val="24"/>
          <w:szCs w:val="24"/>
        </w:rPr>
        <w:t xml:space="preserve">ças amostradas. </w:t>
      </w:r>
    </w:p>
    <w:p w14:paraId="0E9DFB2F" w14:textId="6215AED9" w:rsidR="006A5A39" w:rsidRDefault="00A72A3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Palavras-chave: </w:t>
      </w:r>
      <w:r>
        <w:rPr>
          <w:rFonts w:ascii="Arial" w:eastAsia="Arial" w:hAnsi="Arial" w:cs="Arial"/>
          <w:sz w:val="24"/>
          <w:szCs w:val="24"/>
        </w:rPr>
        <w:t>Industria suína</w:t>
      </w:r>
      <w:r w:rsidR="00241C20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Microrganismos totais</w:t>
      </w:r>
      <w:r w:rsidR="00241C20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Abate </w:t>
      </w:r>
    </w:p>
    <w:p w14:paraId="5DBA02FA" w14:textId="77777777" w:rsidR="006A5A39" w:rsidRDefault="006A5A39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41126E8" w14:textId="77777777" w:rsidR="006A5A39" w:rsidRDefault="00A72A3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Agradecimentos:</w:t>
      </w:r>
      <w:r>
        <w:rPr>
          <w:rFonts w:ascii="Arial" w:eastAsia="Arial" w:hAnsi="Arial" w:cs="Arial"/>
          <w:sz w:val="24"/>
          <w:szCs w:val="24"/>
        </w:rPr>
        <w:t xml:space="preserve"> Este estudo foi parcialmente financiado pela Coordenação de Aperfeiçoamento de Pessoal de Nível Superior - Brasil (CAPES). </w:t>
      </w:r>
    </w:p>
    <w:p w14:paraId="610E764F" w14:textId="77777777" w:rsidR="006A5A39" w:rsidRDefault="006A5A39">
      <w:pPr>
        <w:jc w:val="both"/>
        <w:rPr>
          <w:rFonts w:ascii="Arial" w:eastAsia="Arial" w:hAnsi="Arial" w:cs="Arial"/>
          <w:b/>
          <w:sz w:val="24"/>
          <w:szCs w:val="24"/>
        </w:rPr>
      </w:pPr>
    </w:p>
    <w:sectPr w:rsidR="006A5A39">
      <w:headerReference w:type="default" r:id="rId7"/>
      <w:footerReference w:type="even" r:id="rId8"/>
      <w:footerReference w:type="default" r:id="rId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2050E" w14:textId="77777777" w:rsidR="00A72A3E" w:rsidRDefault="00A72A3E">
      <w:pPr>
        <w:spacing w:after="0" w:line="240" w:lineRule="auto"/>
      </w:pPr>
      <w:r>
        <w:separator/>
      </w:r>
    </w:p>
  </w:endnote>
  <w:endnote w:type="continuationSeparator" w:id="0">
    <w:p w14:paraId="455B47AB" w14:textId="77777777" w:rsidR="00A72A3E" w:rsidRDefault="00A7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9CF80" w14:textId="77777777" w:rsidR="006A5A39" w:rsidRDefault="006A5A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28D95" w14:textId="77777777" w:rsidR="006A5A39" w:rsidRDefault="00A72A3E">
    <w:pPr>
      <w:spacing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2</w:t>
    </w:r>
    <w:r>
      <w:rPr>
        <w:rFonts w:ascii="Times New Roman" w:eastAsia="Times New Roman" w:hAnsi="Times New Roman" w:cs="Times New Roman"/>
        <w:sz w:val="20"/>
        <w:szCs w:val="20"/>
      </w:rPr>
      <w:t>Discente do curso de Pós Graduação em Ciência e Tecnologia de Alimentos da Universidade Federal do Rio Grande do Sul.</w:t>
    </w:r>
  </w:p>
  <w:p w14:paraId="6B7E7307" w14:textId="77777777" w:rsidR="006A5A39" w:rsidRDefault="00A72A3E">
    <w:pPr>
      <w:spacing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3</w:t>
    </w:r>
    <w:r>
      <w:rPr>
        <w:rFonts w:ascii="Times New Roman" w:eastAsia="Times New Roman" w:hAnsi="Times New Roman" w:cs="Times New Roman"/>
        <w:sz w:val="20"/>
        <w:szCs w:val="20"/>
      </w:rPr>
      <w:t xml:space="preserve">Discente do curso de Pós Graduação em Ciência Forense da Florida Internacional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University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(FIU)</w:t>
    </w:r>
  </w:p>
  <w:p w14:paraId="6D0FD4F1" w14:textId="77777777" w:rsidR="006A5A39" w:rsidRDefault="00A72A3E">
    <w:pPr>
      <w:spacing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4</w:t>
    </w:r>
    <w:r>
      <w:rPr>
        <w:rFonts w:ascii="Times New Roman" w:eastAsia="Times New Roman" w:hAnsi="Times New Roman" w:cs="Times New Roman"/>
        <w:sz w:val="20"/>
        <w:szCs w:val="20"/>
      </w:rPr>
      <w:t>Docente do curso de Graduação em Nutrição e Tecnologia de Alimentos da Universidade Federal de Ciências da Saúde de Porto Alegre.</w:t>
    </w:r>
  </w:p>
  <w:p w14:paraId="13691611" w14:textId="77777777" w:rsidR="006A5A39" w:rsidRDefault="00A72A3E">
    <w:pPr>
      <w:spacing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5</w:t>
    </w:r>
    <w:r>
      <w:rPr>
        <w:rFonts w:ascii="Times New Roman" w:eastAsia="Times New Roman" w:hAnsi="Times New Roman" w:cs="Times New Roman"/>
        <w:sz w:val="20"/>
        <w:szCs w:val="20"/>
      </w:rPr>
      <w:t>Discente do curso de Graduaç</w:t>
    </w:r>
    <w:r>
      <w:rPr>
        <w:rFonts w:ascii="Times New Roman" w:eastAsia="Times New Roman" w:hAnsi="Times New Roman" w:cs="Times New Roman"/>
        <w:sz w:val="20"/>
        <w:szCs w:val="20"/>
      </w:rPr>
      <w:t>ão em Engenharia de Alimentos da Universidade Federal do Rio Grande do Sul.</w:t>
    </w:r>
  </w:p>
  <w:p w14:paraId="41804F09" w14:textId="77777777" w:rsidR="006A5A39" w:rsidRDefault="00A72A3E">
    <w:pPr>
      <w:spacing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6</w:t>
    </w:r>
    <w:r>
      <w:rPr>
        <w:rFonts w:ascii="Times New Roman" w:eastAsia="Times New Roman" w:hAnsi="Times New Roman" w:cs="Times New Roman"/>
        <w:sz w:val="20"/>
        <w:szCs w:val="20"/>
      </w:rPr>
      <w:t>Docente do curso de Graduação em Engenharia de Alimentos Pós-Graduação da Universidade Federal do Rio Grande do Sul.</w:t>
    </w:r>
  </w:p>
  <w:p w14:paraId="7264E355" w14:textId="77777777" w:rsidR="006A5A39" w:rsidRDefault="006A5A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80C45" w14:textId="77777777" w:rsidR="00A72A3E" w:rsidRDefault="00A72A3E">
      <w:pPr>
        <w:spacing w:after="0" w:line="240" w:lineRule="auto"/>
      </w:pPr>
      <w:r>
        <w:separator/>
      </w:r>
    </w:p>
  </w:footnote>
  <w:footnote w:type="continuationSeparator" w:id="0">
    <w:p w14:paraId="2437EC44" w14:textId="77777777" w:rsidR="00A72A3E" w:rsidRDefault="00A72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E4B9E" w14:textId="77777777" w:rsidR="006A5A39" w:rsidRDefault="006A5A3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sz w:val="24"/>
        <w:szCs w:val="24"/>
      </w:rPr>
    </w:pPr>
  </w:p>
  <w:tbl>
    <w:tblPr>
      <w:tblStyle w:val="a"/>
      <w:tblW w:w="11907" w:type="dxa"/>
      <w:tblInd w:w="-170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556"/>
      <w:gridCol w:w="7225"/>
      <w:gridCol w:w="2126"/>
    </w:tblGrid>
    <w:tr w:rsidR="006A5A39" w14:paraId="781C2CAD" w14:textId="77777777">
      <w:trPr>
        <w:trHeight w:val="1266"/>
      </w:trPr>
      <w:tc>
        <w:tcPr>
          <w:tcW w:w="2556" w:type="dxa"/>
        </w:tcPr>
        <w:p w14:paraId="5A37D7B2" w14:textId="77777777" w:rsidR="006A5A39" w:rsidRDefault="00A72A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4FAE283" wp14:editId="07D0B8CC">
                <wp:extent cx="1514414" cy="851785"/>
                <wp:effectExtent l="0" t="0" r="0" b="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14" cy="8517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p w14:paraId="2B5AA5B3" w14:textId="77777777" w:rsidR="006A5A39" w:rsidRDefault="00A72A3E">
          <w:pPr>
            <w:jc w:val="center"/>
            <w:rPr>
              <w:rFonts w:ascii="Times New Roman" w:eastAsia="Times New Roman" w:hAnsi="Times New Roman" w:cs="Times New Roman"/>
              <w:b/>
              <w:color w:val="323E4F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323E4F"/>
              <w:sz w:val="24"/>
              <w:szCs w:val="24"/>
            </w:rPr>
            <w:t>I SIMPÓSIO SUL-MATO-GROSSENSE DE TECNOLOGIA E ENGENHARIA DE ALIMENTOS ONLINE</w:t>
          </w:r>
        </w:p>
        <w:p w14:paraId="4F939C4B" w14:textId="77777777" w:rsidR="006A5A39" w:rsidRDefault="00A72A3E">
          <w:pPr>
            <w:jc w:val="center"/>
            <w:rPr>
              <w:rFonts w:ascii="Times New Roman" w:eastAsia="Times New Roman" w:hAnsi="Times New Roman" w:cs="Times New Roman"/>
              <w:color w:val="323E4F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323E4F"/>
              <w:sz w:val="24"/>
              <w:szCs w:val="24"/>
            </w:rPr>
            <w:t>UNIVERSIDADE FEDERAL DA GRANDE DOURADOS</w:t>
          </w:r>
        </w:p>
        <w:p w14:paraId="6CDFC209" w14:textId="77777777" w:rsidR="006A5A39" w:rsidRDefault="00A72A3E">
          <w:pPr>
            <w:jc w:val="center"/>
            <w:rPr>
              <w:rFonts w:ascii="Times New Roman" w:eastAsia="Times New Roman" w:hAnsi="Times New Roman" w:cs="Times New Roman"/>
              <w:color w:val="323E4F"/>
            </w:rPr>
          </w:pPr>
          <w:r>
            <w:rPr>
              <w:rFonts w:ascii="Times New Roman" w:eastAsia="Times New Roman" w:hAnsi="Times New Roman" w:cs="Times New Roman"/>
              <w:color w:val="323E4F"/>
              <w:sz w:val="24"/>
              <w:szCs w:val="24"/>
            </w:rPr>
            <w:t>08 DE MARÇO DE 2021</w:t>
          </w:r>
        </w:p>
      </w:tc>
      <w:tc>
        <w:tcPr>
          <w:tcW w:w="2126" w:type="dxa"/>
          <w:vAlign w:val="center"/>
        </w:tcPr>
        <w:p w14:paraId="5F23B679" w14:textId="77777777" w:rsidR="006A5A39" w:rsidRDefault="00A72A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D4E3197" wp14:editId="6BD152A2">
                <wp:extent cx="1177317" cy="651993"/>
                <wp:effectExtent l="0" t="0" r="0" b="0"/>
                <wp:docPr id="1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l="10176" t="19479" r="10675" b="2207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317" cy="6519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BEAD830" w14:textId="77777777" w:rsidR="006A5A39" w:rsidRDefault="00A72A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85BF687" wp14:editId="5B0D859D">
              <wp:simplePos x="0" y="0"/>
              <wp:positionH relativeFrom="column">
                <wp:posOffset>-888999</wp:posOffset>
              </wp:positionH>
              <wp:positionV relativeFrom="paragraph">
                <wp:posOffset>88900</wp:posOffset>
              </wp:positionV>
              <wp:extent cx="7134225" cy="12700"/>
              <wp:effectExtent l="0" t="0" r="0" b="0"/>
              <wp:wrapNone/>
              <wp:docPr id="8" name="Conector de Seta Re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78888" y="3780000"/>
                        <a:ext cx="713422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70C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-888999</wp:posOffset>
              </wp:positionH>
              <wp:positionV relativeFrom="paragraph">
                <wp:posOffset>88900</wp:posOffset>
              </wp:positionV>
              <wp:extent cx="7134225" cy="12700"/>
              <wp:effectExtent b="0" l="0" r="0" t="0"/>
              <wp:wrapNone/>
              <wp:docPr id="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342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0CBB971" wp14:editId="129602FD">
              <wp:simplePos x="0" y="0"/>
              <wp:positionH relativeFrom="column">
                <wp:posOffset>-863599</wp:posOffset>
              </wp:positionH>
              <wp:positionV relativeFrom="paragraph">
                <wp:posOffset>12700</wp:posOffset>
              </wp:positionV>
              <wp:extent cx="7086600" cy="12700"/>
              <wp:effectExtent l="0" t="0" r="0" b="0"/>
              <wp:wrapNone/>
              <wp:docPr id="7" name="Conector de Seta Re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02700" y="3780000"/>
                        <a:ext cx="70866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70C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-863599</wp:posOffset>
              </wp:positionH>
              <wp:positionV relativeFrom="paragraph">
                <wp:posOffset>12700</wp:posOffset>
              </wp:positionV>
              <wp:extent cx="7086600" cy="12700"/>
              <wp:effectExtent b="0" l="0" r="0" t="0"/>
              <wp:wrapNone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866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39"/>
    <w:rsid w:val="001F6196"/>
    <w:rsid w:val="00241C20"/>
    <w:rsid w:val="006A5A39"/>
    <w:rsid w:val="00A72A3E"/>
    <w:rsid w:val="00A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5974"/>
  <w15:docId w15:val="{71D48582-8B8A-416D-8ABD-1A84246C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B0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0FED"/>
  </w:style>
  <w:style w:type="paragraph" w:styleId="Rodap">
    <w:name w:val="footer"/>
    <w:basedOn w:val="Normal"/>
    <w:link w:val="RodapChar"/>
    <w:uiPriority w:val="99"/>
    <w:unhideWhenUsed/>
    <w:rsid w:val="00DB0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0FED"/>
  </w:style>
  <w:style w:type="table" w:styleId="Tabelacomgrade">
    <w:name w:val="Table Grid"/>
    <w:basedOn w:val="Tabelanormal"/>
    <w:uiPriority w:val="39"/>
    <w:rsid w:val="00DB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0D7D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5GwZNTwPakkPGY8nXoyom86+/w==">AMUW2mXaMdrR4i/5F/kwdYHVcaoho3152c0eEI5Vqe4UbD2YkatkLuzF+0oHRcoSmvc0iPqkwJfjvviiAuMpl4aTbZAT3zF5gP0Ud/XZNQ4D0suEz2Q3d4A=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Geovane</dc:creator>
  <cp:lastModifiedBy>Danielle Carmo</cp:lastModifiedBy>
  <cp:revision>3</cp:revision>
  <dcterms:created xsi:type="dcterms:W3CDTF">2020-11-13T04:32:00Z</dcterms:created>
  <dcterms:modified xsi:type="dcterms:W3CDTF">2021-02-07T22:26:00Z</dcterms:modified>
</cp:coreProperties>
</file>