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7FBC2" w14:textId="77777777" w:rsidR="008071E8" w:rsidRDefault="008071E8">
      <w:pPr>
        <w:pStyle w:val="Body"/>
        <w:shd w:val="clear" w:color="auto" w:fill="FFFFFF"/>
        <w:jc w:val="both"/>
        <w:rPr>
          <w:rFonts w:ascii="Arial" w:eastAsia="Arial" w:hAnsi="Arial" w:cs="Arial"/>
          <w:b/>
          <w:bCs/>
        </w:rPr>
      </w:pPr>
    </w:p>
    <w:p w14:paraId="2E8231B8" w14:textId="77777777" w:rsidR="008071E8" w:rsidRDefault="00FE41AD">
      <w:pPr>
        <w:pStyle w:val="Body"/>
        <w:shd w:val="clear" w:color="auto" w:fill="FFFFFF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lang w:val="pt-PT"/>
        </w:rPr>
        <w:t>EIXO TEMÁ</w:t>
      </w:r>
      <w:r>
        <w:rPr>
          <w:rFonts w:ascii="Arial" w:hAnsi="Arial"/>
          <w:b/>
          <w:bCs/>
          <w:lang w:val="es-ES_tradnl"/>
        </w:rPr>
        <w:t>TICO:</w:t>
      </w:r>
      <w:r>
        <w:rPr>
          <w:rFonts w:ascii="Arial" w:hAnsi="Arial"/>
          <w:lang w:val="it-IT"/>
        </w:rPr>
        <w:t xml:space="preserve"> Biotecnologia, Inova</w:t>
      </w:r>
      <w:r>
        <w:rPr>
          <w:rFonts w:ascii="Arial" w:hAnsi="Arial"/>
          <w:lang w:val="pt-PT"/>
        </w:rPr>
        <w:t>çã</w:t>
      </w:r>
      <w:r>
        <w:rPr>
          <w:rFonts w:ascii="Arial" w:hAnsi="Arial"/>
          <w:lang w:val="it-IT"/>
        </w:rPr>
        <w:t>o e Sa</w:t>
      </w:r>
      <w:r>
        <w:rPr>
          <w:rFonts w:ascii="Arial" w:hAnsi="Arial"/>
          <w:lang w:val="pt-PT"/>
        </w:rPr>
        <w:t>ú</w:t>
      </w:r>
      <w:r>
        <w:rPr>
          <w:rFonts w:ascii="Arial" w:hAnsi="Arial"/>
        </w:rPr>
        <w:t>de.</w:t>
      </w:r>
    </w:p>
    <w:p w14:paraId="53BA3D94" w14:textId="77777777" w:rsidR="008071E8" w:rsidRDefault="00FE41AD">
      <w:pPr>
        <w:pStyle w:val="Body"/>
        <w:jc w:val="both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</w:rPr>
        <w:br/>
      </w:r>
      <w:r>
        <w:rPr>
          <w:rFonts w:ascii="Arial" w:hAnsi="Arial"/>
          <w:b/>
          <w:bCs/>
          <w:lang w:val="de-DE"/>
        </w:rPr>
        <w:t>INTERA</w:t>
      </w:r>
      <w:r>
        <w:rPr>
          <w:rFonts w:ascii="Arial" w:hAnsi="Arial"/>
          <w:b/>
          <w:bCs/>
          <w:lang w:val="pt-PT"/>
        </w:rPr>
        <w:t>ÇÕES PROVÁ</w:t>
      </w:r>
      <w:r w:rsidRPr="004010B0">
        <w:rPr>
          <w:rFonts w:ascii="Arial" w:hAnsi="Arial"/>
          <w:b/>
          <w:bCs/>
        </w:rPr>
        <w:t>VEIS ENTRE SAF E INFEC</w:t>
      </w:r>
      <w:r>
        <w:rPr>
          <w:rFonts w:ascii="Arial" w:hAnsi="Arial"/>
          <w:b/>
          <w:bCs/>
          <w:lang w:val="pt-PT"/>
        </w:rPr>
        <w:t>ÇÕ</w:t>
      </w:r>
      <w:r>
        <w:rPr>
          <w:rFonts w:ascii="Arial" w:hAnsi="Arial"/>
          <w:b/>
          <w:bCs/>
          <w:lang w:val="de-DE"/>
        </w:rPr>
        <w:t>ES RESPIRAT</w:t>
      </w:r>
      <w:r>
        <w:rPr>
          <w:rFonts w:ascii="Arial" w:hAnsi="Arial"/>
          <w:b/>
          <w:bCs/>
          <w:lang w:val="pt-PT"/>
        </w:rPr>
        <w:t>ÓRIAS: UMA ANÁ</w:t>
      </w:r>
      <w:r>
        <w:rPr>
          <w:rFonts w:ascii="Arial" w:hAnsi="Arial"/>
          <w:b/>
          <w:bCs/>
          <w:lang w:val="es-ES_tradnl"/>
        </w:rPr>
        <w:t xml:space="preserve">LISE DESTINADA </w:t>
      </w:r>
      <w:r>
        <w:rPr>
          <w:rFonts w:ascii="Arial" w:hAnsi="Arial"/>
          <w:b/>
          <w:bCs/>
          <w:lang w:val="pt-PT"/>
        </w:rPr>
        <w:t xml:space="preserve">À </w:t>
      </w:r>
      <w:r>
        <w:rPr>
          <w:rFonts w:ascii="Arial" w:hAnsi="Arial"/>
          <w:b/>
          <w:bCs/>
          <w:lang w:val="da-DK"/>
        </w:rPr>
        <w:t>SARS-CoV-2</w:t>
      </w:r>
    </w:p>
    <w:p w14:paraId="2AD93986" w14:textId="77777777" w:rsidR="008071E8" w:rsidRDefault="00FE41AD">
      <w:pPr>
        <w:pStyle w:val="Body"/>
        <w:widowControl w:val="0"/>
        <w:tabs>
          <w:tab w:val="left" w:pos="7998"/>
        </w:tabs>
        <w:ind w:right="49"/>
        <w:jc w:val="both"/>
        <w:rPr>
          <w:rFonts w:ascii="Arial" w:eastAsia="Arial" w:hAnsi="Arial" w:cs="Arial"/>
        </w:rPr>
      </w:pPr>
      <w:r>
        <w:rPr>
          <w:rFonts w:ascii="Arial" w:hAnsi="Arial"/>
          <w:lang w:val="de-DE"/>
        </w:rPr>
        <w:t>CARVALHO NETO, A.P.M.</w:t>
      </w:r>
      <w:r>
        <w:rPr>
          <w:rFonts w:ascii="Arial" w:hAnsi="Arial"/>
          <w:lang w:val="pt-PT"/>
        </w:rPr>
        <w:t>¹</w:t>
      </w:r>
      <w:r>
        <w:rPr>
          <w:rFonts w:ascii="Arial" w:hAnsi="Arial"/>
          <w:lang w:val="de-DE"/>
        </w:rPr>
        <w:t>, SALGUEIRO, L.A.</w:t>
      </w:r>
      <w:r>
        <w:rPr>
          <w:rFonts w:ascii="Arial" w:hAnsi="Arial"/>
          <w:lang w:val="pt-PT"/>
        </w:rPr>
        <w:t>¹</w:t>
      </w:r>
      <w:r w:rsidRPr="004010B0">
        <w:rPr>
          <w:rFonts w:ascii="Arial" w:hAnsi="Arial"/>
        </w:rPr>
        <w:t>, MATA, L.E.L.F.S.</w:t>
      </w:r>
      <w:r>
        <w:rPr>
          <w:rFonts w:ascii="Arial" w:hAnsi="Arial"/>
          <w:lang w:val="pt-PT"/>
        </w:rPr>
        <w:t>¹, GOMES, L. H. A.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  <w:lang w:val="it-IT"/>
        </w:rPr>
        <w:t>, BARROS, L.E.C.N.</w:t>
      </w:r>
      <w:r>
        <w:rPr>
          <w:rFonts w:ascii="Arial" w:hAnsi="Arial"/>
          <w:vertAlign w:val="superscript"/>
        </w:rPr>
        <w:t>1</w:t>
      </w:r>
      <w:r>
        <w:rPr>
          <w:rFonts w:ascii="Arial" w:hAnsi="Arial"/>
        </w:rPr>
        <w:t>, ANJOS, T.M.</w:t>
      </w:r>
      <w:r>
        <w:rPr>
          <w:rFonts w:ascii="Arial" w:hAnsi="Arial"/>
          <w:lang w:val="pt-PT"/>
        </w:rPr>
        <w:t xml:space="preserve">¹ </w:t>
      </w:r>
      <w:r>
        <w:rPr>
          <w:rFonts w:ascii="Arial" w:hAnsi="Arial"/>
          <w:lang w:val="it-IT"/>
        </w:rPr>
        <w:t>e CRUZ, C. M.</w:t>
      </w:r>
      <w:r>
        <w:rPr>
          <w:rFonts w:ascii="Arial" w:hAnsi="Arial"/>
          <w:vertAlign w:val="superscript"/>
        </w:rPr>
        <w:t>2</w:t>
      </w:r>
    </w:p>
    <w:p w14:paraId="6A808C97" w14:textId="77777777" w:rsidR="008071E8" w:rsidRDefault="008071E8">
      <w:pPr>
        <w:pStyle w:val="Body"/>
        <w:widowControl w:val="0"/>
        <w:ind w:right="49"/>
        <w:jc w:val="both"/>
        <w:rPr>
          <w:rFonts w:ascii="Arial" w:eastAsia="Arial" w:hAnsi="Arial" w:cs="Arial"/>
          <w:i/>
          <w:iCs/>
          <w:color w:val="FF0000"/>
          <w:u w:color="FF0000"/>
        </w:rPr>
      </w:pPr>
    </w:p>
    <w:p w14:paraId="609E5E8F" w14:textId="77777777" w:rsidR="008071E8" w:rsidRDefault="00FE41AD">
      <w:pPr>
        <w:pStyle w:val="Body"/>
        <w:widowControl w:val="0"/>
        <w:ind w:right="49"/>
        <w:jc w:val="both"/>
        <w:rPr>
          <w:rFonts w:ascii="Arial" w:eastAsia="Arial" w:hAnsi="Arial" w:cs="Arial"/>
        </w:rPr>
      </w:pPr>
      <w:r>
        <w:rPr>
          <w:rFonts w:ascii="Arial" w:hAnsi="Arial"/>
          <w:vertAlign w:val="superscript"/>
        </w:rPr>
        <w:t>1</w:t>
      </w:r>
      <w:r>
        <w:rPr>
          <w:rFonts w:ascii="Arial" w:hAnsi="Arial"/>
          <w:lang w:val="it-IT"/>
        </w:rPr>
        <w:t xml:space="preserve"> Centro Universit</w:t>
      </w:r>
      <w:r>
        <w:rPr>
          <w:rFonts w:ascii="Arial" w:hAnsi="Arial"/>
          <w:lang w:val="pt-PT"/>
        </w:rPr>
        <w:t>ário CESMAC, Curso de Medicina</w:t>
      </w:r>
    </w:p>
    <w:p w14:paraId="369E8EC2" w14:textId="77777777" w:rsidR="008071E8" w:rsidRDefault="00FE41AD">
      <w:pPr>
        <w:pStyle w:val="Body"/>
        <w:widowControl w:val="0"/>
        <w:ind w:right="49"/>
        <w:jc w:val="both"/>
        <w:rPr>
          <w:rFonts w:ascii="Arial" w:eastAsia="Arial" w:hAnsi="Arial" w:cs="Arial"/>
        </w:rPr>
      </w:pPr>
      <w:r>
        <w:rPr>
          <w:rFonts w:ascii="Arial" w:hAnsi="Arial"/>
          <w:vertAlign w:val="superscript"/>
        </w:rPr>
        <w:t>2</w:t>
      </w:r>
      <w:r>
        <w:rPr>
          <w:rFonts w:ascii="Arial" w:hAnsi="Arial"/>
          <w:lang w:val="it-IT"/>
        </w:rPr>
        <w:t xml:space="preserve"> Centro Universit</w:t>
      </w:r>
      <w:r>
        <w:rPr>
          <w:rFonts w:ascii="Arial" w:hAnsi="Arial"/>
          <w:lang w:val="pt-PT"/>
        </w:rPr>
        <w:t xml:space="preserve">ário CESMAC, Docente do Curso de Medicina </w:t>
      </w:r>
    </w:p>
    <w:p w14:paraId="7BD77726" w14:textId="77777777" w:rsidR="008071E8" w:rsidRDefault="00FE41AD">
      <w:pPr>
        <w:pStyle w:val="Body"/>
        <w:widowControl w:val="0"/>
        <w:ind w:right="49"/>
        <w:jc w:val="both"/>
        <w:rPr>
          <w:rFonts w:ascii="Arial" w:eastAsia="Arial" w:hAnsi="Arial" w:cs="Arial"/>
        </w:rPr>
      </w:pPr>
      <w:r>
        <w:rPr>
          <w:rFonts w:ascii="Arial" w:hAnsi="Arial"/>
          <w:lang w:val="pt-PT"/>
        </w:rPr>
        <w:t xml:space="preserve">E-mail do apresentador: </w:t>
      </w:r>
      <w:r w:rsidRPr="004010B0">
        <w:rPr>
          <w:rFonts w:ascii="Arial" w:hAnsi="Arial"/>
        </w:rPr>
        <w:t>lucas-lemos10@hotmail.com</w:t>
      </w:r>
    </w:p>
    <w:p w14:paraId="1402E25F" w14:textId="77777777" w:rsidR="008071E8" w:rsidRDefault="008071E8">
      <w:pPr>
        <w:pStyle w:val="Body"/>
        <w:widowControl w:val="0"/>
        <w:ind w:right="49"/>
        <w:jc w:val="both"/>
        <w:rPr>
          <w:rFonts w:ascii="Arial" w:eastAsia="Arial" w:hAnsi="Arial" w:cs="Arial"/>
        </w:rPr>
      </w:pPr>
    </w:p>
    <w:p w14:paraId="4DB309D6" w14:textId="448B8D0D" w:rsidR="008071E8" w:rsidRDefault="00FE41AD">
      <w:pPr>
        <w:pStyle w:val="NormalWeb"/>
        <w:shd w:val="clear" w:color="auto" w:fill="FFFFFF"/>
        <w:spacing w:before="0" w:after="0"/>
        <w:jc w:val="both"/>
        <w:rPr>
          <w:rFonts w:ascii="Arial" w:eastAsia="Arial" w:hAnsi="Arial" w:cs="Arial"/>
        </w:rPr>
      </w:pPr>
      <w:r>
        <w:rPr>
          <w:rFonts w:ascii="Arial" w:hAnsi="Arial"/>
          <w:b/>
          <w:bCs/>
          <w:color w:val="212121"/>
          <w:u w:color="212121"/>
        </w:rPr>
        <w:t>Introdução:</w:t>
      </w:r>
      <w:r>
        <w:rPr>
          <w:rFonts w:ascii="Arial" w:hAnsi="Arial"/>
        </w:rPr>
        <w:t xml:space="preserve"> A falha no sistema imune está associada ao mimetismo molecular, o que faz que as células de defesa ataquem o organismo como uma tentativa de proteção biológica. A COVID-19 é uma doença infecciosa, causada pelo vírus SARS-CoV-2. Pacientes infectados pelo vírus apresentam maior susceptibilidade a obstrução arterial e venosa à base de fibrina trombótica, consequentemente, estão mais propensos a desenvolver a Síndrome do Anticorpo Antifosfolipídeos (SAF), doença autoimune associada ao desenvolvimento de hipercoagulabilidade. </w:t>
      </w:r>
      <w:r>
        <w:rPr>
          <w:rFonts w:ascii="Arial" w:hAnsi="Arial"/>
          <w:b/>
          <w:bCs/>
          <w:color w:val="212121"/>
          <w:u w:color="212121"/>
        </w:rPr>
        <w:t>Objetivos:</w:t>
      </w:r>
      <w:r>
        <w:rPr>
          <w:rFonts w:ascii="Arial" w:hAnsi="Arial"/>
          <w:color w:val="212121"/>
          <w:u w:color="212121"/>
        </w:rPr>
        <w:t xml:space="preserve"> M</w:t>
      </w:r>
      <w:r>
        <w:rPr>
          <w:rFonts w:ascii="Arial" w:hAnsi="Arial"/>
          <w:shd w:val="clear" w:color="auto" w:fill="FFFFFF"/>
        </w:rPr>
        <w:t>apear características clínicas e imunológicas dos pacientes com síndrome antifosfolípide (SAF) e investigar sua possível associação ao</w:t>
      </w:r>
      <w:r>
        <w:rPr>
          <w:rFonts w:ascii="Arial" w:hAnsi="Arial"/>
        </w:rPr>
        <w:t xml:space="preserve"> vírus </w:t>
      </w:r>
      <w:r>
        <w:rPr>
          <w:rFonts w:ascii="Arial" w:hAnsi="Arial"/>
          <w:color w:val="222222"/>
          <w:u w:color="222222"/>
          <w:shd w:val="clear" w:color="auto" w:fill="FFFFFF"/>
        </w:rPr>
        <w:t>SARS-CoV-2.</w:t>
      </w:r>
      <w:r>
        <w:rPr>
          <w:rFonts w:ascii="Arial" w:hAnsi="Arial"/>
          <w:color w:val="212121"/>
          <w:u w:color="212121"/>
        </w:rPr>
        <w:t xml:space="preserve"> </w:t>
      </w:r>
      <w:r>
        <w:rPr>
          <w:rFonts w:ascii="Arial" w:hAnsi="Arial"/>
          <w:b/>
          <w:bCs/>
          <w:color w:val="212121"/>
          <w:u w:color="212121"/>
        </w:rPr>
        <w:t>Metodologia:</w:t>
      </w:r>
      <w:r>
        <w:rPr>
          <w:rFonts w:ascii="Arial" w:hAnsi="Arial"/>
          <w:color w:val="212121"/>
          <w:u w:color="212121"/>
        </w:rPr>
        <w:t xml:space="preserve"> Foi realizada uma revisão integrativa de literatura com a estratégia de busca “</w:t>
      </w:r>
      <w:r>
        <w:rPr>
          <w:rFonts w:ascii="Arial" w:hAnsi="Arial"/>
        </w:rPr>
        <w:t>SAF AND SARS-CoV-2 AND Im</w:t>
      </w:r>
      <w:r w:rsidR="00F819B8">
        <w:rPr>
          <w:rFonts w:ascii="Arial" w:hAnsi="Arial"/>
        </w:rPr>
        <w:t>munology</w:t>
      </w:r>
      <w:r>
        <w:rPr>
          <w:rFonts w:ascii="Arial" w:hAnsi="Arial"/>
        </w:rPr>
        <w:t>” através das bases de dados Medline via Pubmed, em uma análise dos últimos 5 anos.</w:t>
      </w:r>
      <w:r w:rsidRPr="004010B0">
        <w:rPr>
          <w:rFonts w:ascii="Arial" w:hAnsi="Arial"/>
          <w:lang w:val="pt-BR"/>
        </w:rPr>
        <w:t xml:space="preserve"> </w:t>
      </w:r>
      <w:r>
        <w:rPr>
          <w:rFonts w:ascii="Arial" w:hAnsi="Arial"/>
          <w:color w:val="202124"/>
          <w:u w:color="202124"/>
        </w:rPr>
        <w:t>Como critério de exclusão,</w:t>
      </w:r>
      <w:r w:rsidRPr="004010B0">
        <w:rPr>
          <w:rFonts w:ascii="Arial" w:hAnsi="Arial"/>
          <w:color w:val="202124"/>
          <w:u w:color="202124"/>
          <w:lang w:val="pt-BR"/>
        </w:rPr>
        <w:t xml:space="preserve"> </w:t>
      </w:r>
      <w:r>
        <w:rPr>
          <w:rFonts w:ascii="Arial" w:hAnsi="Arial"/>
          <w:color w:val="202124"/>
          <w:u w:color="202124"/>
        </w:rPr>
        <w:t>estudos que não abordassem infecções virais associadas ao desenvolvimento de autoimunidade</w:t>
      </w:r>
      <w:r w:rsidRPr="004010B0">
        <w:rPr>
          <w:rFonts w:ascii="Arial" w:hAnsi="Arial"/>
          <w:color w:val="202124"/>
          <w:u w:color="202124"/>
          <w:lang w:val="pt-BR"/>
        </w:rPr>
        <w:t xml:space="preserve"> e </w:t>
      </w:r>
      <w:r>
        <w:rPr>
          <w:rFonts w:ascii="Arial" w:hAnsi="Arial"/>
          <w:color w:val="202124"/>
          <w:u w:color="202124"/>
        </w:rPr>
        <w:t>estudos que não abordassem aspectos imunológicos da SAF, foram rejeitados.</w:t>
      </w:r>
      <w:r w:rsidRPr="004010B0">
        <w:rPr>
          <w:rFonts w:ascii="Arial" w:hAnsi="Arial"/>
          <w:color w:val="202124"/>
          <w:u w:color="202124"/>
          <w:lang w:val="pt-BR"/>
        </w:rPr>
        <w:t xml:space="preserve"> </w:t>
      </w:r>
      <w:r>
        <w:rPr>
          <w:rFonts w:ascii="Arial" w:hAnsi="Arial"/>
          <w:b/>
          <w:bCs/>
        </w:rPr>
        <w:t>Resultados:</w:t>
      </w:r>
      <w:r w:rsidRPr="004010B0">
        <w:rPr>
          <w:rFonts w:ascii="Arial" w:hAnsi="Arial"/>
          <w:b/>
          <w:bCs/>
          <w:lang w:val="pt-BR"/>
        </w:rPr>
        <w:t xml:space="preserve"> </w:t>
      </w:r>
      <w:r>
        <w:rPr>
          <w:rFonts w:ascii="Arial" w:hAnsi="Arial"/>
          <w:color w:val="202124"/>
          <w:u w:color="202124"/>
        </w:rPr>
        <w:t xml:space="preserve">Foram encontrados </w:t>
      </w:r>
      <w:r w:rsidRPr="004010B0">
        <w:rPr>
          <w:rFonts w:ascii="Arial" w:hAnsi="Arial"/>
          <w:color w:val="202124"/>
          <w:u w:color="202124"/>
          <w:lang w:val="pt-BR"/>
        </w:rPr>
        <w:t>35</w:t>
      </w:r>
      <w:r>
        <w:rPr>
          <w:rFonts w:ascii="Arial" w:hAnsi="Arial"/>
          <w:color w:val="202124"/>
          <w:u w:color="202124"/>
        </w:rPr>
        <w:t xml:space="preserve"> artigos com a estratégia de busca, dos quais </w:t>
      </w:r>
      <w:r w:rsidRPr="004010B0">
        <w:rPr>
          <w:rFonts w:ascii="Arial" w:hAnsi="Arial"/>
          <w:color w:val="202124"/>
          <w:u w:color="202124"/>
          <w:lang w:val="pt-BR"/>
        </w:rPr>
        <w:t>32</w:t>
      </w:r>
      <w:r>
        <w:rPr>
          <w:rFonts w:ascii="Arial" w:hAnsi="Arial"/>
          <w:color w:val="202124"/>
          <w:u w:color="202124"/>
        </w:rPr>
        <w:t xml:space="preserve"> foram selecionados após a leitura do título</w:t>
      </w:r>
      <w:r w:rsidR="00F819B8">
        <w:rPr>
          <w:rFonts w:ascii="Arial" w:hAnsi="Arial"/>
          <w:color w:val="202124"/>
          <w:u w:color="202124"/>
        </w:rPr>
        <w:t xml:space="preserve"> e </w:t>
      </w:r>
      <w:r w:rsidRPr="004010B0">
        <w:rPr>
          <w:rFonts w:ascii="Arial" w:hAnsi="Arial"/>
          <w:color w:val="202124"/>
          <w:u w:color="202124"/>
          <w:lang w:val="pt-BR"/>
        </w:rPr>
        <w:t>26</w:t>
      </w:r>
      <w:r>
        <w:rPr>
          <w:rFonts w:ascii="Arial" w:hAnsi="Arial"/>
          <w:color w:val="202124"/>
          <w:u w:color="202124"/>
        </w:rPr>
        <w:t xml:space="preserve"> artigos foram considerados relevantes após a leitura do resumo cujos estudos foram incluídos nesta revisão</w:t>
      </w:r>
      <w:r w:rsidRPr="004010B0">
        <w:rPr>
          <w:rFonts w:ascii="Arial" w:hAnsi="Arial"/>
          <w:color w:val="202124"/>
          <w:u w:color="202124"/>
          <w:lang w:val="pt-BR"/>
        </w:rPr>
        <w:t xml:space="preserve">. </w:t>
      </w:r>
      <w:r>
        <w:rPr>
          <w:rFonts w:ascii="Arial" w:hAnsi="Arial"/>
          <w:color w:val="202124"/>
          <w:u w:color="202124"/>
        </w:rPr>
        <w:t xml:space="preserve">É sabido que </w:t>
      </w:r>
      <w:r w:rsidRPr="004010B0">
        <w:rPr>
          <w:rFonts w:ascii="Arial" w:hAnsi="Arial"/>
          <w:color w:val="202124"/>
          <w:u w:color="202124"/>
          <w:lang w:val="pt-BR"/>
        </w:rPr>
        <w:t xml:space="preserve">a Síndrome do anticorpo </w:t>
      </w:r>
      <w:proofErr w:type="spellStart"/>
      <w:r w:rsidRPr="004010B0">
        <w:rPr>
          <w:rFonts w:ascii="Arial" w:hAnsi="Arial"/>
          <w:color w:val="202124"/>
          <w:u w:color="202124"/>
          <w:lang w:val="pt-BR"/>
        </w:rPr>
        <w:t>antifosfolípide</w:t>
      </w:r>
      <w:proofErr w:type="spellEnd"/>
      <w:r w:rsidRPr="004010B0">
        <w:rPr>
          <w:rFonts w:ascii="Arial" w:hAnsi="Arial"/>
          <w:color w:val="202124"/>
          <w:u w:color="202124"/>
          <w:lang w:val="pt-BR"/>
        </w:rPr>
        <w:t xml:space="preserve"> </w:t>
      </w:r>
      <w:r>
        <w:rPr>
          <w:rFonts w:ascii="Arial" w:hAnsi="Arial"/>
          <w:color w:val="202124"/>
          <w:u w:color="202124"/>
        </w:rPr>
        <w:t xml:space="preserve">se trata de uma síndrome </w:t>
      </w:r>
      <w:r w:rsidRPr="004010B0">
        <w:rPr>
          <w:rFonts w:ascii="Arial" w:hAnsi="Arial"/>
          <w:color w:val="202124"/>
          <w:u w:color="202124"/>
          <w:lang w:val="pt-BR"/>
        </w:rPr>
        <w:t>autoimune</w:t>
      </w:r>
      <w:r>
        <w:rPr>
          <w:rFonts w:ascii="Arial" w:hAnsi="Arial"/>
          <w:color w:val="202124"/>
          <w:u w:color="202124"/>
        </w:rPr>
        <w:t xml:space="preserve"> de disfunção </w:t>
      </w:r>
      <w:r w:rsidRPr="004010B0">
        <w:rPr>
          <w:rFonts w:ascii="Arial" w:hAnsi="Arial"/>
          <w:color w:val="202124"/>
          <w:u w:color="202124"/>
          <w:lang w:val="pt-BR"/>
        </w:rPr>
        <w:t>imunológica</w:t>
      </w:r>
      <w:r>
        <w:rPr>
          <w:rFonts w:ascii="Arial" w:hAnsi="Arial"/>
          <w:color w:val="202124"/>
          <w:u w:color="202124"/>
        </w:rPr>
        <w:t xml:space="preserve"> comumente </w:t>
      </w:r>
      <w:r w:rsidRPr="004010B0">
        <w:rPr>
          <w:rFonts w:ascii="Arial" w:hAnsi="Arial"/>
          <w:color w:val="202124"/>
          <w:u w:color="202124"/>
          <w:lang w:val="pt-BR"/>
        </w:rPr>
        <w:t xml:space="preserve">causando eventos trombóticos </w:t>
      </w:r>
      <w:r>
        <w:rPr>
          <w:rFonts w:ascii="Arial" w:hAnsi="Arial"/>
          <w:color w:val="202124"/>
          <w:u w:color="202124"/>
        </w:rPr>
        <w:t xml:space="preserve">. Ademais, </w:t>
      </w:r>
      <w:r w:rsidRPr="004010B0">
        <w:rPr>
          <w:rFonts w:ascii="Arial" w:hAnsi="Arial"/>
          <w:color w:val="202124"/>
          <w:u w:color="202124"/>
          <w:lang w:val="pt-BR"/>
        </w:rPr>
        <w:t>a SAF</w:t>
      </w:r>
      <w:r>
        <w:rPr>
          <w:rFonts w:ascii="Arial" w:hAnsi="Arial"/>
          <w:color w:val="202124"/>
          <w:u w:color="202124"/>
        </w:rPr>
        <w:t xml:space="preserve"> </w:t>
      </w:r>
      <w:r w:rsidRPr="004010B0">
        <w:rPr>
          <w:rFonts w:ascii="Arial" w:hAnsi="Arial"/>
          <w:color w:val="202124"/>
          <w:u w:color="202124"/>
          <w:lang w:val="pt-BR"/>
        </w:rPr>
        <w:t xml:space="preserve">pode ser exacerbada naqueles que são infectados pelo </w:t>
      </w:r>
      <w:proofErr w:type="spellStart"/>
      <w:r w:rsidRPr="004010B0">
        <w:rPr>
          <w:rFonts w:ascii="Arial" w:hAnsi="Arial"/>
          <w:color w:val="202124"/>
          <w:u w:color="202124"/>
          <w:lang w:val="pt-BR"/>
        </w:rPr>
        <w:t>coronavirus</w:t>
      </w:r>
      <w:proofErr w:type="spellEnd"/>
      <w:r w:rsidRPr="004010B0">
        <w:rPr>
          <w:rFonts w:ascii="Arial" w:hAnsi="Arial"/>
          <w:color w:val="202124"/>
          <w:u w:color="202124"/>
          <w:lang w:val="pt-BR"/>
        </w:rPr>
        <w:t>, uma vez que a clínica destes pacientes favorecem ainda mais eventos tromboembólicos.</w:t>
      </w:r>
      <w:r>
        <w:rPr>
          <w:rFonts w:ascii="Arial" w:hAnsi="Arial"/>
          <w:color w:val="202124"/>
          <w:u w:color="202124"/>
        </w:rPr>
        <w:t xml:space="preserve"> </w:t>
      </w:r>
      <w:r w:rsidRPr="004010B0">
        <w:rPr>
          <w:rFonts w:ascii="Arial" w:hAnsi="Arial"/>
          <w:color w:val="202124"/>
          <w:u w:color="202124"/>
          <w:lang w:val="pt-BR"/>
        </w:rPr>
        <w:t>A</w:t>
      </w:r>
      <w:r>
        <w:rPr>
          <w:rFonts w:ascii="Arial" w:hAnsi="Arial"/>
          <w:color w:val="202124"/>
          <w:u w:color="202124"/>
        </w:rPr>
        <w:t>ssocia-se a</w:t>
      </w:r>
      <w:proofErr w:type="spellStart"/>
      <w:r w:rsidRPr="004010B0">
        <w:rPr>
          <w:rFonts w:ascii="Arial" w:hAnsi="Arial"/>
          <w:color w:val="202124"/>
          <w:u w:color="202124"/>
          <w:lang w:val="pt-BR"/>
        </w:rPr>
        <w:t>ssim</w:t>
      </w:r>
      <w:proofErr w:type="spellEnd"/>
      <w:r w:rsidRPr="004010B0">
        <w:rPr>
          <w:rFonts w:ascii="Arial" w:hAnsi="Arial"/>
          <w:color w:val="202124"/>
          <w:u w:color="202124"/>
          <w:lang w:val="pt-BR"/>
        </w:rPr>
        <w:t>,</w:t>
      </w:r>
      <w:r>
        <w:rPr>
          <w:rFonts w:ascii="Arial" w:hAnsi="Arial"/>
          <w:color w:val="202124"/>
          <w:u w:color="202124"/>
        </w:rPr>
        <w:t xml:space="preserve"> uma grande morbimortalidade, de modo que tal </w:t>
      </w:r>
      <w:r w:rsidRPr="004010B0">
        <w:rPr>
          <w:rFonts w:ascii="Arial" w:hAnsi="Arial"/>
          <w:color w:val="202124"/>
          <w:u w:color="202124"/>
          <w:lang w:val="pt-BR"/>
        </w:rPr>
        <w:t>sinergia</w:t>
      </w:r>
      <w:r>
        <w:rPr>
          <w:rFonts w:ascii="Arial" w:hAnsi="Arial"/>
          <w:color w:val="202124"/>
          <w:u w:color="202124"/>
        </w:rPr>
        <w:t xml:space="preserve"> pode</w:t>
      </w:r>
      <w:r w:rsidRPr="004010B0">
        <w:rPr>
          <w:rFonts w:ascii="Arial" w:hAnsi="Arial"/>
          <w:color w:val="202124"/>
          <w:u w:color="202124"/>
          <w:lang w:val="pt-BR"/>
        </w:rPr>
        <w:t xml:space="preserve"> causar mais graves complicações.</w:t>
      </w:r>
      <w:r w:rsidR="004010B0">
        <w:rPr>
          <w:rFonts w:ascii="Arial" w:hAnsi="Arial"/>
          <w:color w:val="202124"/>
          <w:u w:color="202124"/>
          <w:lang w:val="pt-BR"/>
        </w:rPr>
        <w:t xml:space="preserve"> </w:t>
      </w:r>
      <w:r>
        <w:rPr>
          <w:rFonts w:ascii="Arial" w:hAnsi="Arial"/>
          <w:b/>
          <w:bCs/>
        </w:rPr>
        <w:t xml:space="preserve">Conclusão: </w:t>
      </w:r>
      <w:r>
        <w:rPr>
          <w:rFonts w:ascii="Arial" w:hAnsi="Arial"/>
        </w:rPr>
        <w:t>Em síntese, sabe-se que indivíduos com processo infeccioso pelo</w:t>
      </w:r>
      <w:r w:rsidRPr="004010B0">
        <w:rPr>
          <w:rFonts w:ascii="Arial" w:hAnsi="Arial"/>
          <w:lang w:val="pt-BR"/>
        </w:rPr>
        <w:t xml:space="preserve"> </w:t>
      </w:r>
      <w:r>
        <w:rPr>
          <w:rFonts w:ascii="Arial" w:hAnsi="Arial"/>
        </w:rPr>
        <w:t>SARS-CoV-2 pode ser um fator desencadeante para uma desregulação autoimune e auto-inflamatória em pacientes com predisposição genética a desenvolver a SAF, concomitante, o risco de sofrer eventos trombolíticos como infarto agudo do miocárdio também aumenta.</w:t>
      </w:r>
    </w:p>
    <w:p w14:paraId="688D40D7" w14:textId="77777777" w:rsidR="008071E8" w:rsidRDefault="00FE41AD">
      <w:pPr>
        <w:pStyle w:val="Body"/>
        <w:widowControl w:val="0"/>
        <w:spacing w:line="360" w:lineRule="auto"/>
        <w:ind w:right="135"/>
        <w:jc w:val="both"/>
      </w:pPr>
      <w:r>
        <w:rPr>
          <w:rFonts w:ascii="Arial" w:hAnsi="Arial"/>
          <w:lang w:val="de-DE"/>
        </w:rPr>
        <w:t>PALAVRAS-CHAVE:</w:t>
      </w:r>
      <w:r w:rsidRPr="004010B0">
        <w:rPr>
          <w:rFonts w:ascii="Arial" w:hAnsi="Arial"/>
        </w:rPr>
        <w:t xml:space="preserve"> Doença autoimune</w:t>
      </w:r>
      <w:r>
        <w:rPr>
          <w:rFonts w:ascii="Arial" w:hAnsi="Arial"/>
        </w:rPr>
        <w:t xml:space="preserve">, </w:t>
      </w:r>
      <w:r w:rsidRPr="004010B0">
        <w:rPr>
          <w:rFonts w:ascii="Arial" w:hAnsi="Arial"/>
        </w:rPr>
        <w:t>Imunologia</w:t>
      </w:r>
      <w:r>
        <w:rPr>
          <w:rFonts w:ascii="Arial" w:hAnsi="Arial"/>
        </w:rPr>
        <w:t xml:space="preserve">, </w:t>
      </w:r>
      <w:r w:rsidRPr="004010B0">
        <w:rPr>
          <w:rFonts w:ascii="Arial" w:hAnsi="Arial"/>
        </w:rPr>
        <w:t xml:space="preserve">Síndrome </w:t>
      </w:r>
      <w:proofErr w:type="spellStart"/>
      <w:r w:rsidRPr="004010B0">
        <w:rPr>
          <w:rFonts w:ascii="Arial" w:hAnsi="Arial"/>
        </w:rPr>
        <w:t>antifosfolípide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V</w:t>
      </w:r>
      <w:r w:rsidRPr="004010B0">
        <w:rPr>
          <w:rFonts w:ascii="Arial" w:hAnsi="Arial"/>
        </w:rPr>
        <w:t>í</w:t>
      </w:r>
      <w:proofErr w:type="spellEnd"/>
      <w:r>
        <w:rPr>
          <w:rFonts w:ascii="Arial" w:hAnsi="Arial"/>
          <w:lang w:val="pt-PT"/>
        </w:rPr>
        <w:t>rus.</w:t>
      </w:r>
    </w:p>
    <w:sectPr w:rsidR="008071E8">
      <w:headerReference w:type="default" r:id="rId6"/>
      <w:footerReference w:type="default" r:id="rId7"/>
      <w:pgSz w:w="11900" w:h="16840"/>
      <w:pgMar w:top="1417" w:right="1701" w:bottom="1417" w:left="1701" w:header="284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0E806F" w14:textId="77777777" w:rsidR="00C818FE" w:rsidRDefault="00C818FE">
      <w:r>
        <w:separator/>
      </w:r>
    </w:p>
  </w:endnote>
  <w:endnote w:type="continuationSeparator" w:id="0">
    <w:p w14:paraId="3CC89559" w14:textId="77777777" w:rsidR="00C818FE" w:rsidRDefault="00C81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FCC26B" w14:textId="77777777" w:rsidR="008071E8" w:rsidRDefault="00FE41AD">
    <w:pPr>
      <w:pStyle w:val="Rodap"/>
      <w:tabs>
        <w:tab w:val="clear" w:pos="8504"/>
        <w:tab w:val="right" w:pos="8478"/>
      </w:tabs>
      <w:jc w:val="center"/>
    </w:pPr>
    <w:r>
      <w:rPr>
        <w:rFonts w:ascii="Arial" w:hAnsi="Arial"/>
        <w:color w:val="0070C0"/>
        <w:sz w:val="24"/>
        <w:szCs w:val="24"/>
        <w:u w:color="0070C0"/>
      </w:rPr>
      <w:t>congresso.academico@cesmac.edu.br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1EC80" w14:textId="77777777" w:rsidR="00C818FE" w:rsidRDefault="00C818FE">
      <w:r>
        <w:separator/>
      </w:r>
    </w:p>
  </w:footnote>
  <w:footnote w:type="continuationSeparator" w:id="0">
    <w:p w14:paraId="6E1D280D" w14:textId="77777777" w:rsidR="00C818FE" w:rsidRDefault="00C81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FAC79F" w14:textId="77777777" w:rsidR="008071E8" w:rsidRDefault="00FE41AD">
    <w:pPr>
      <w:pStyle w:val="Cabealho"/>
      <w:tabs>
        <w:tab w:val="clear" w:pos="8504"/>
        <w:tab w:val="left" w:pos="6840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296DAA1F" wp14:editId="6F242959">
              <wp:simplePos x="0" y="0"/>
              <wp:positionH relativeFrom="page">
                <wp:posOffset>754380</wp:posOffset>
              </wp:positionH>
              <wp:positionV relativeFrom="page">
                <wp:posOffset>9909810</wp:posOffset>
              </wp:positionV>
              <wp:extent cx="6202680" cy="45719"/>
              <wp:effectExtent l="0" t="0" r="0" b="0"/>
              <wp:wrapNone/>
              <wp:docPr id="1073741826" name="officeArt object" descr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202680" cy="45719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id="_x0000_s1026" style="visibility:visible;position:absolute;margin-left:59.4pt;margin-top:780.3pt;width:488.4pt;height:3.6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C000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ect>
          </w:pict>
        </mc:Fallback>
      </mc:AlternateContent>
    </w:r>
    <w:r>
      <w:tab/>
    </w:r>
    <w:r>
      <w:rPr>
        <w:noProof/>
      </w:rPr>
      <w:drawing>
        <wp:inline distT="0" distB="0" distL="0" distR="0" wp14:anchorId="59531D1D" wp14:editId="6490BD05">
          <wp:extent cx="1228725" cy="1306170"/>
          <wp:effectExtent l="0" t="0" r="0" b="0"/>
          <wp:docPr id="1073741825" name="officeArt object" descr="MarcaCongresso_Estudo4_09.12_VA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MarcaCongresso_Estudo4_09.12_VALE.png" descr="MarcaCongresso_Estudo4_09.12_VALE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1306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71E8"/>
    <w:rsid w:val="004010B0"/>
    <w:rsid w:val="008071E8"/>
    <w:rsid w:val="00C818FE"/>
    <w:rsid w:val="00F819B8"/>
    <w:rsid w:val="00FE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AA4D8"/>
  <w15:docId w15:val="{1FF422DE-C0E8-4F9F-BACA-7596F6C2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styleId="Rodap">
    <w:name w:val="foot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pPr>
      <w:spacing w:before="100" w:after="100"/>
    </w:pPr>
    <w:rPr>
      <w:rFonts w:cs="Arial Unicode MS"/>
      <w:color w:val="000000"/>
      <w:sz w:val="24"/>
      <w:szCs w:val="24"/>
      <w:u w:color="00000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409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Thaynara Melo</cp:lastModifiedBy>
  <cp:revision>3</cp:revision>
  <dcterms:created xsi:type="dcterms:W3CDTF">2021-01-08T13:55:00Z</dcterms:created>
  <dcterms:modified xsi:type="dcterms:W3CDTF">2021-01-08T16:48:00Z</dcterms:modified>
</cp:coreProperties>
</file>